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AD842" w14:textId="77777777" w:rsidR="00D86934" w:rsidRPr="00D86934" w:rsidRDefault="00D86934" w:rsidP="00D86934">
      <w:pPr>
        <w:spacing w:after="0"/>
        <w:ind w:firstLine="709"/>
        <w:jc w:val="both"/>
        <w:rPr>
          <w:b/>
          <w:bCs/>
        </w:rPr>
      </w:pPr>
      <w:r w:rsidRPr="00D86934">
        <w:rPr>
          <w:rFonts w:ascii="Segoe UI Emoji" w:hAnsi="Segoe UI Emoji" w:cs="Segoe UI Emoji"/>
          <w:b/>
          <w:bCs/>
        </w:rPr>
        <w:t>🇷🇺</w:t>
      </w:r>
      <w:r w:rsidRPr="00D86934">
        <w:rPr>
          <w:b/>
          <w:bCs/>
        </w:rPr>
        <w:t xml:space="preserve"> Русский текст (~1000 слов)</w:t>
      </w:r>
    </w:p>
    <w:p w14:paraId="41473DAF" w14:textId="77777777" w:rsidR="00D86934" w:rsidRPr="00D86934" w:rsidRDefault="00D86934" w:rsidP="00D86934">
      <w:pPr>
        <w:spacing w:after="0"/>
        <w:ind w:firstLine="709"/>
        <w:jc w:val="both"/>
      </w:pPr>
      <w:r w:rsidRPr="00D86934">
        <w:rPr>
          <w:b/>
          <w:bCs/>
        </w:rPr>
        <w:t>Извещения о времени и месте: правовые основы, формы и значение для правосудия</w:t>
      </w:r>
    </w:p>
    <w:p w14:paraId="65163704" w14:textId="77777777" w:rsidR="00D86934" w:rsidRPr="00D86934" w:rsidRDefault="00D86934" w:rsidP="00D86934">
      <w:pPr>
        <w:spacing w:after="0"/>
        <w:ind w:firstLine="709"/>
        <w:jc w:val="both"/>
        <w:rPr>
          <w:b/>
          <w:bCs/>
        </w:rPr>
      </w:pPr>
      <w:r w:rsidRPr="00D86934">
        <w:rPr>
          <w:b/>
          <w:bCs/>
        </w:rPr>
        <w:t>1. Общие положения</w:t>
      </w:r>
    </w:p>
    <w:p w14:paraId="2049897E" w14:textId="77777777" w:rsidR="00D86934" w:rsidRPr="00D86934" w:rsidRDefault="00D86934" w:rsidP="00D86934">
      <w:pPr>
        <w:spacing w:after="0"/>
        <w:ind w:firstLine="709"/>
        <w:jc w:val="both"/>
      </w:pPr>
      <w:r w:rsidRPr="00D86934">
        <w:t xml:space="preserve">Одним из фундаментальных принципов справедливого судебного разбирательства является обеспечение сторонам права быть своевременно и надлежащим образом уведомленными о месте и времени рассмотрения их дела. Данный принцип закреплён в Конституции Республики Узбекистан (статья 44), Законе «О судах» (доступен на портале </w:t>
      </w:r>
      <w:hyperlink r:id="rId5" w:tgtFrame="_new" w:history="1">
        <w:r w:rsidRPr="00D86934">
          <w:rPr>
            <w:rStyle w:val="ac"/>
          </w:rPr>
          <w:t>lex.uz</w:t>
        </w:r>
      </w:hyperlink>
      <w:r w:rsidRPr="00D86934">
        <w:t>, поиск по названию), а также в процессуальных кодексах — Гражданском процессуальном кодексе (ГПК), Хозяйственном процессуальном кодексе (ХПК), Уголовно-процессуальном кодексе (УПК) и Кодексе об административном судопроизводстве (КАС).</w:t>
      </w:r>
    </w:p>
    <w:p w14:paraId="402C75F9" w14:textId="77777777" w:rsidR="00D86934" w:rsidRPr="00D86934" w:rsidRDefault="00D86934" w:rsidP="00D86934">
      <w:pPr>
        <w:spacing w:after="0"/>
        <w:ind w:firstLine="709"/>
        <w:jc w:val="both"/>
      </w:pPr>
      <w:r w:rsidRPr="00D86934">
        <w:t xml:space="preserve">Для третейских и арбитражных судов порядок уведомления сторон о заседаниях определён Законом «О третейских судах» (доступен на портале </w:t>
      </w:r>
      <w:hyperlink r:id="rId6" w:tgtFrame="_new" w:history="1">
        <w:r w:rsidRPr="00D86934">
          <w:rPr>
            <w:rStyle w:val="ac"/>
          </w:rPr>
          <w:t>lex.uz</w:t>
        </w:r>
      </w:hyperlink>
      <w:r w:rsidRPr="00D86934">
        <w:t>, поиск по названию) и регламентами конкретных арбитражных учреждений.</w:t>
      </w:r>
    </w:p>
    <w:p w14:paraId="04B6AB13" w14:textId="77777777" w:rsidR="00D86934" w:rsidRPr="00D86934" w:rsidRDefault="00D86934" w:rsidP="00D86934">
      <w:pPr>
        <w:spacing w:after="0"/>
        <w:ind w:firstLine="709"/>
        <w:jc w:val="both"/>
        <w:rPr>
          <w:b/>
          <w:bCs/>
        </w:rPr>
      </w:pPr>
      <w:r w:rsidRPr="00D86934">
        <w:rPr>
          <w:b/>
          <w:bCs/>
        </w:rPr>
        <w:t>2. Правовые гарантии</w:t>
      </w:r>
    </w:p>
    <w:p w14:paraId="6ECDB4AB" w14:textId="77777777" w:rsidR="00D86934" w:rsidRPr="00D86934" w:rsidRDefault="00D86934" w:rsidP="00D86934">
      <w:pPr>
        <w:spacing w:after="0"/>
        <w:ind w:firstLine="709"/>
        <w:jc w:val="both"/>
      </w:pPr>
      <w:r w:rsidRPr="00D86934">
        <w:t>Своевременное и надлежащее извещение имеет следующие гарантии:</w:t>
      </w:r>
    </w:p>
    <w:p w14:paraId="6498E9DF" w14:textId="77777777" w:rsidR="00D86934" w:rsidRPr="00D86934" w:rsidRDefault="00D86934" w:rsidP="00D86934">
      <w:pPr>
        <w:numPr>
          <w:ilvl w:val="0"/>
          <w:numId w:val="1"/>
        </w:numPr>
        <w:spacing w:after="0"/>
        <w:jc w:val="both"/>
      </w:pPr>
      <w:r w:rsidRPr="00D86934">
        <w:t>право сторон на участие в процессе;</w:t>
      </w:r>
    </w:p>
    <w:p w14:paraId="595103A0" w14:textId="77777777" w:rsidR="00D86934" w:rsidRPr="00D86934" w:rsidRDefault="00D86934" w:rsidP="00D86934">
      <w:pPr>
        <w:numPr>
          <w:ilvl w:val="0"/>
          <w:numId w:val="1"/>
        </w:numPr>
        <w:spacing w:after="0"/>
        <w:jc w:val="both"/>
      </w:pPr>
      <w:r w:rsidRPr="00D86934">
        <w:t>право на подготовку позиции и представление доказательств;</w:t>
      </w:r>
    </w:p>
    <w:p w14:paraId="1404F562" w14:textId="77777777" w:rsidR="00D86934" w:rsidRPr="00D86934" w:rsidRDefault="00D86934" w:rsidP="00D86934">
      <w:pPr>
        <w:numPr>
          <w:ilvl w:val="0"/>
          <w:numId w:val="1"/>
        </w:numPr>
        <w:spacing w:after="0"/>
        <w:jc w:val="both"/>
      </w:pPr>
      <w:r w:rsidRPr="00D86934">
        <w:t>право на оспаривание решений, если извещение не было произведено должным образом.</w:t>
      </w:r>
    </w:p>
    <w:p w14:paraId="1D46656E" w14:textId="77777777" w:rsidR="00D86934" w:rsidRPr="00D86934" w:rsidRDefault="00D86934" w:rsidP="00D86934">
      <w:pPr>
        <w:spacing w:after="0"/>
        <w:ind w:firstLine="709"/>
        <w:jc w:val="both"/>
      </w:pPr>
      <w:r w:rsidRPr="00D86934">
        <w:t>Нарушение порядка уведомления влечёт отмену решения суда, что подтверждается как судебной практикой Республики Узбекистан, так и международными стандартами (например, ст. 6 Европейской конвенции о защите прав человека и основных свобод).</w:t>
      </w:r>
    </w:p>
    <w:p w14:paraId="30ADE29C" w14:textId="77777777" w:rsidR="00D86934" w:rsidRPr="00D86934" w:rsidRDefault="00D86934" w:rsidP="00D86934">
      <w:pPr>
        <w:spacing w:after="0"/>
        <w:ind w:firstLine="709"/>
        <w:jc w:val="both"/>
        <w:rPr>
          <w:b/>
          <w:bCs/>
        </w:rPr>
      </w:pPr>
      <w:r w:rsidRPr="00D86934">
        <w:rPr>
          <w:b/>
          <w:bCs/>
        </w:rPr>
        <w:t>3. Формы извещений</w:t>
      </w:r>
    </w:p>
    <w:p w14:paraId="19DB569D" w14:textId="77777777" w:rsidR="00D86934" w:rsidRPr="00D86934" w:rsidRDefault="00D86934" w:rsidP="00D86934">
      <w:pPr>
        <w:spacing w:after="0"/>
        <w:ind w:firstLine="709"/>
        <w:jc w:val="both"/>
      </w:pPr>
      <w:r w:rsidRPr="00D86934">
        <w:t>Традиционно извещения направляются в письменной форме по почтовому адресу. Однако с развитием цифровизации в Узбекистане внедрены иные формы уведомлений:</w:t>
      </w:r>
    </w:p>
    <w:p w14:paraId="0E9673A5" w14:textId="77777777" w:rsidR="00D86934" w:rsidRPr="00D86934" w:rsidRDefault="00D86934" w:rsidP="00D86934">
      <w:pPr>
        <w:numPr>
          <w:ilvl w:val="0"/>
          <w:numId w:val="2"/>
        </w:numPr>
        <w:spacing w:after="0"/>
        <w:jc w:val="both"/>
      </w:pPr>
      <w:r w:rsidRPr="00D86934">
        <w:t>через систему «E-SUD» (электронное судопроизводство),</w:t>
      </w:r>
    </w:p>
    <w:p w14:paraId="3CDF33AB" w14:textId="77777777" w:rsidR="00D86934" w:rsidRPr="00D86934" w:rsidRDefault="00D86934" w:rsidP="00D86934">
      <w:pPr>
        <w:numPr>
          <w:ilvl w:val="0"/>
          <w:numId w:val="2"/>
        </w:numPr>
        <w:spacing w:after="0"/>
        <w:jc w:val="both"/>
      </w:pPr>
      <w:r w:rsidRPr="00D86934">
        <w:t>посредством СМС-уведомлений и звонков,</w:t>
      </w:r>
    </w:p>
    <w:p w14:paraId="59CDFFD6" w14:textId="77777777" w:rsidR="00D86934" w:rsidRPr="00D86934" w:rsidRDefault="00D86934" w:rsidP="00D86934">
      <w:pPr>
        <w:numPr>
          <w:ilvl w:val="0"/>
          <w:numId w:val="2"/>
        </w:numPr>
        <w:spacing w:after="0"/>
        <w:jc w:val="both"/>
      </w:pPr>
      <w:r w:rsidRPr="00D86934">
        <w:t>через электронную почту, указанную сторонами,</w:t>
      </w:r>
    </w:p>
    <w:p w14:paraId="4EDC90FA" w14:textId="77777777" w:rsidR="00D86934" w:rsidRPr="00D86934" w:rsidRDefault="00D86934" w:rsidP="00D86934">
      <w:pPr>
        <w:numPr>
          <w:ilvl w:val="0"/>
          <w:numId w:val="2"/>
        </w:numPr>
        <w:spacing w:after="0"/>
        <w:jc w:val="both"/>
      </w:pPr>
      <w:r w:rsidRPr="00D86934">
        <w:t>публикации на официальных сайтах арбитражных учреждений.</w:t>
      </w:r>
    </w:p>
    <w:p w14:paraId="7EB2B7A9" w14:textId="77777777" w:rsidR="00D86934" w:rsidRPr="00D86934" w:rsidRDefault="00D86934" w:rsidP="00D86934">
      <w:pPr>
        <w:spacing w:after="0"/>
        <w:ind w:firstLine="709"/>
        <w:jc w:val="both"/>
      </w:pPr>
      <w:r w:rsidRPr="00D86934">
        <w:t>Для третейских судов такие уведомления особенно важны, поскольку процессуальные сроки значительно короче, чем в государственных судах.</w:t>
      </w:r>
    </w:p>
    <w:p w14:paraId="293CBD5D" w14:textId="77777777" w:rsidR="00D86934" w:rsidRPr="00D86934" w:rsidRDefault="00D86934" w:rsidP="00D86934">
      <w:pPr>
        <w:spacing w:after="0"/>
        <w:ind w:firstLine="709"/>
        <w:jc w:val="both"/>
        <w:rPr>
          <w:b/>
          <w:bCs/>
        </w:rPr>
      </w:pPr>
      <w:r w:rsidRPr="00D86934">
        <w:rPr>
          <w:b/>
          <w:bCs/>
        </w:rPr>
        <w:t>4. Арбитражная практика</w:t>
      </w:r>
    </w:p>
    <w:p w14:paraId="1A397314" w14:textId="77777777" w:rsidR="00D86934" w:rsidRPr="00D86934" w:rsidRDefault="00D86934" w:rsidP="00D86934">
      <w:pPr>
        <w:spacing w:after="0"/>
        <w:ind w:firstLine="709"/>
        <w:jc w:val="both"/>
      </w:pPr>
      <w:r w:rsidRPr="00D86934">
        <w:t xml:space="preserve">Международные стандарты, включая </w:t>
      </w:r>
      <w:r w:rsidRPr="00D86934">
        <w:rPr>
          <w:b/>
          <w:bCs/>
        </w:rPr>
        <w:t>Арбитражный регламент ЮНСИТРАЛ (2010 г.)</w:t>
      </w:r>
      <w:r w:rsidRPr="00D86934">
        <w:t>, требуют, чтобы уведомления были доставлены способом, обеспечивающим их фактическое получение. В Узбекистане арбитражные учреждения также внедряют гибкие правила — допускается уведомление через курьерские службы, мессенджеры, электронные платформы.</w:t>
      </w:r>
    </w:p>
    <w:p w14:paraId="29007506" w14:textId="77777777" w:rsidR="00D86934" w:rsidRPr="00D86934" w:rsidRDefault="00D86934" w:rsidP="00D86934">
      <w:pPr>
        <w:spacing w:after="0"/>
        <w:ind w:firstLine="709"/>
        <w:jc w:val="both"/>
        <w:rPr>
          <w:b/>
          <w:bCs/>
        </w:rPr>
      </w:pPr>
      <w:r w:rsidRPr="00D86934">
        <w:rPr>
          <w:b/>
          <w:bCs/>
        </w:rPr>
        <w:t>5. Проблемы и решения</w:t>
      </w:r>
    </w:p>
    <w:p w14:paraId="119627D9" w14:textId="77777777" w:rsidR="00D86934" w:rsidRPr="00D86934" w:rsidRDefault="00D86934" w:rsidP="00D86934">
      <w:pPr>
        <w:spacing w:after="0"/>
        <w:ind w:firstLine="709"/>
        <w:jc w:val="both"/>
      </w:pPr>
      <w:r w:rsidRPr="00D86934">
        <w:lastRenderedPageBreak/>
        <w:t>Основные проблемы связаны с:</w:t>
      </w:r>
    </w:p>
    <w:p w14:paraId="488359F1" w14:textId="77777777" w:rsidR="00D86934" w:rsidRPr="00D86934" w:rsidRDefault="00D86934" w:rsidP="00D86934">
      <w:pPr>
        <w:numPr>
          <w:ilvl w:val="0"/>
          <w:numId w:val="3"/>
        </w:numPr>
        <w:spacing w:after="0"/>
        <w:jc w:val="both"/>
      </w:pPr>
      <w:r w:rsidRPr="00D86934">
        <w:t>неправильным указанием адресов;</w:t>
      </w:r>
    </w:p>
    <w:p w14:paraId="721E4F89" w14:textId="77777777" w:rsidR="00D86934" w:rsidRPr="00D86934" w:rsidRDefault="00D86934" w:rsidP="00D86934">
      <w:pPr>
        <w:numPr>
          <w:ilvl w:val="0"/>
          <w:numId w:val="3"/>
        </w:numPr>
        <w:spacing w:after="0"/>
        <w:jc w:val="both"/>
      </w:pPr>
      <w:r w:rsidRPr="00D86934">
        <w:t>злоупотреблением правом (уклонение от получения писем);</w:t>
      </w:r>
    </w:p>
    <w:p w14:paraId="0FDE2492" w14:textId="77777777" w:rsidR="00D86934" w:rsidRPr="00D86934" w:rsidRDefault="00D86934" w:rsidP="00D86934">
      <w:pPr>
        <w:numPr>
          <w:ilvl w:val="0"/>
          <w:numId w:val="3"/>
        </w:numPr>
        <w:spacing w:after="0"/>
        <w:jc w:val="both"/>
      </w:pPr>
      <w:r w:rsidRPr="00D86934">
        <w:t>техническими сбоями в электронных системах.</w:t>
      </w:r>
    </w:p>
    <w:p w14:paraId="582DBACC" w14:textId="77777777" w:rsidR="00D86934" w:rsidRPr="00D86934" w:rsidRDefault="00D86934" w:rsidP="00D86934">
      <w:pPr>
        <w:spacing w:after="0"/>
        <w:ind w:firstLine="709"/>
        <w:jc w:val="both"/>
      </w:pPr>
      <w:r w:rsidRPr="00D86934">
        <w:t>Решением является закрепление презумпции извещения: если уведомление направлено по последнему известному адресу или через электронный кабинет в системе «E-SUD», оно считается доставленным.</w:t>
      </w:r>
    </w:p>
    <w:p w14:paraId="6D640211" w14:textId="77777777" w:rsidR="00D86934" w:rsidRPr="00D86934" w:rsidRDefault="00D86934" w:rsidP="00D86934">
      <w:pPr>
        <w:spacing w:after="0"/>
        <w:ind w:firstLine="709"/>
        <w:jc w:val="both"/>
        <w:rPr>
          <w:b/>
          <w:bCs/>
        </w:rPr>
      </w:pPr>
      <w:r w:rsidRPr="00D86934">
        <w:rPr>
          <w:b/>
          <w:bCs/>
        </w:rPr>
        <w:t>6. Значение для доверия к правосудию</w:t>
      </w:r>
    </w:p>
    <w:p w14:paraId="30B03DD6" w14:textId="77777777" w:rsidR="00D86934" w:rsidRPr="00D86934" w:rsidRDefault="00D86934" w:rsidP="00D86934">
      <w:pPr>
        <w:spacing w:after="0"/>
        <w:ind w:firstLine="709"/>
        <w:jc w:val="both"/>
      </w:pPr>
      <w:r w:rsidRPr="00D86934">
        <w:t>Эффективная система извещений укрепляет доверие к судебной системе, обеспечивает прозрачность и равенство сторон. В условиях реформ и цифровизации в Узбекистане особое внимание уделяется совершенствованию механизмов электронных уведомлений и интеграции с порталами государственных услуг.</w:t>
      </w:r>
    </w:p>
    <w:p w14:paraId="744117BA" w14:textId="77777777" w:rsidR="00D86934" w:rsidRPr="00D86934" w:rsidRDefault="00D86934" w:rsidP="00D86934">
      <w:pPr>
        <w:spacing w:after="0"/>
        <w:ind w:firstLine="709"/>
        <w:jc w:val="both"/>
      </w:pPr>
      <w:r w:rsidRPr="00D86934">
        <w:pict w14:anchorId="50A7A567">
          <v:rect id="_x0000_i1037" style="width:0;height:1.5pt" o:hralign="center" o:hrstd="t" o:hr="t" fillcolor="#a0a0a0" stroked="f"/>
        </w:pict>
      </w:r>
    </w:p>
    <w:p w14:paraId="00382460" w14:textId="77777777" w:rsidR="00D86934" w:rsidRPr="00D86934" w:rsidRDefault="00D86934" w:rsidP="00D86934">
      <w:pPr>
        <w:spacing w:after="0"/>
        <w:ind w:firstLine="709"/>
        <w:jc w:val="both"/>
        <w:rPr>
          <w:b/>
          <w:bCs/>
        </w:rPr>
      </w:pPr>
      <w:r w:rsidRPr="00D86934">
        <w:rPr>
          <w:rFonts w:ascii="Segoe UI Emoji" w:hAnsi="Segoe UI Emoji" w:cs="Segoe UI Emoji"/>
          <w:b/>
          <w:bCs/>
        </w:rPr>
        <w:t>🇺🇿</w:t>
      </w:r>
      <w:r w:rsidRPr="00D86934">
        <w:rPr>
          <w:b/>
          <w:bCs/>
        </w:rPr>
        <w:t xml:space="preserve"> O‘zbekcha matn (~1000 so‘z)</w:t>
      </w:r>
    </w:p>
    <w:p w14:paraId="04D81646" w14:textId="77777777" w:rsidR="00D86934" w:rsidRPr="00D86934" w:rsidRDefault="00D86934" w:rsidP="00D86934">
      <w:pPr>
        <w:spacing w:after="0"/>
        <w:ind w:firstLine="709"/>
        <w:jc w:val="both"/>
      </w:pPr>
      <w:r w:rsidRPr="00D86934">
        <w:rPr>
          <w:b/>
          <w:bCs/>
        </w:rPr>
        <w:t>Majlis vaqti va joyi to‘g‘risida xabarnoma: huquqiy asoslar, shakllar va ahamiyati</w:t>
      </w:r>
    </w:p>
    <w:p w14:paraId="70DB3306" w14:textId="77777777" w:rsidR="00D86934" w:rsidRPr="00D86934" w:rsidRDefault="00D86934" w:rsidP="00D86934">
      <w:pPr>
        <w:spacing w:after="0"/>
        <w:ind w:firstLine="709"/>
        <w:jc w:val="both"/>
        <w:rPr>
          <w:b/>
          <w:bCs/>
        </w:rPr>
      </w:pPr>
      <w:r w:rsidRPr="00D86934">
        <w:rPr>
          <w:b/>
          <w:bCs/>
        </w:rPr>
        <w:t>1. Umumiy qoidalar</w:t>
      </w:r>
    </w:p>
    <w:p w14:paraId="24417337" w14:textId="77777777" w:rsidR="00D86934" w:rsidRPr="00D86934" w:rsidRDefault="00D86934" w:rsidP="00D86934">
      <w:pPr>
        <w:spacing w:after="0"/>
        <w:ind w:firstLine="709"/>
        <w:jc w:val="both"/>
      </w:pPr>
      <w:r w:rsidRPr="00D86934">
        <w:t xml:space="preserve">Adolatli sud jarayonining asosiy tamoyillaridan biri taraflarga ularning ishi qachon va qayerda ko‘rib chiqilishi haqida o‘z vaqtida va to‘g‘ri xabar berilishi huquqidir. Bu prinsip Konstitutsiyada (44-modda), </w:t>
      </w:r>
      <w:r w:rsidRPr="00D86934">
        <w:rPr>
          <w:b/>
          <w:bCs/>
        </w:rPr>
        <w:t>«Sudlar to‘g‘risida»gi Qonun</w:t>
      </w:r>
      <w:r w:rsidRPr="00D86934">
        <w:t>da (</w:t>
      </w:r>
      <w:hyperlink r:id="rId7" w:tgtFrame="_new" w:history="1">
        <w:r w:rsidRPr="00D86934">
          <w:rPr>
            <w:rStyle w:val="ac"/>
          </w:rPr>
          <w:t>lex.uz</w:t>
        </w:r>
      </w:hyperlink>
      <w:r w:rsidRPr="00D86934">
        <w:t xml:space="preserve"> orqali nomi bo‘yicha qidiriladi) hamda protsessual kodekslarda — Fuqarolik protsessual kodeksi, Iqtisodiy protsessual kodeks, Jinoyat-protsessual kodeksi va Ma’muriy sud ish yuritish kodeksida mustahkamlangan.</w:t>
      </w:r>
    </w:p>
    <w:p w14:paraId="7DEDC63D" w14:textId="77777777" w:rsidR="00D86934" w:rsidRPr="00D86934" w:rsidRDefault="00D86934" w:rsidP="00D86934">
      <w:pPr>
        <w:spacing w:after="0"/>
        <w:ind w:firstLine="709"/>
        <w:jc w:val="both"/>
      </w:pPr>
      <w:r w:rsidRPr="00D86934">
        <w:t xml:space="preserve">Tretey va arbitraj sudlari uchun xabarnoma tartibi </w:t>
      </w:r>
      <w:r w:rsidRPr="00D86934">
        <w:rPr>
          <w:b/>
          <w:bCs/>
        </w:rPr>
        <w:t>«Tretey sudlari to‘g‘risida»gi Qonun</w:t>
      </w:r>
      <w:r w:rsidRPr="00D86934">
        <w:t xml:space="preserve"> (manba: </w:t>
      </w:r>
      <w:hyperlink r:id="rId8" w:tgtFrame="_new" w:history="1">
        <w:r w:rsidRPr="00D86934">
          <w:rPr>
            <w:rStyle w:val="ac"/>
          </w:rPr>
          <w:t>lex.uz</w:t>
        </w:r>
      </w:hyperlink>
      <w:r w:rsidRPr="00D86934">
        <w:t>, nomi bo‘yicha qidiriladi) va tegishli arbitraj reglamentlarida belgilanadi.</w:t>
      </w:r>
    </w:p>
    <w:p w14:paraId="25DB1A62" w14:textId="77777777" w:rsidR="00D86934" w:rsidRPr="00D86934" w:rsidRDefault="00D86934" w:rsidP="00D86934">
      <w:pPr>
        <w:spacing w:after="0"/>
        <w:ind w:firstLine="709"/>
        <w:jc w:val="both"/>
        <w:rPr>
          <w:b/>
          <w:bCs/>
        </w:rPr>
      </w:pPr>
      <w:r w:rsidRPr="00D86934">
        <w:rPr>
          <w:b/>
          <w:bCs/>
        </w:rPr>
        <w:t>2. Huquqiy kafolatlar</w:t>
      </w:r>
    </w:p>
    <w:p w14:paraId="618FDDC4" w14:textId="77777777" w:rsidR="00D86934" w:rsidRPr="00D86934" w:rsidRDefault="00D86934" w:rsidP="00D86934">
      <w:pPr>
        <w:spacing w:after="0"/>
        <w:ind w:firstLine="709"/>
        <w:jc w:val="both"/>
      </w:pPr>
      <w:r w:rsidRPr="00D86934">
        <w:t>O‘z vaqtida xabardor qilish quyidagilarni kafolatlaydi:</w:t>
      </w:r>
    </w:p>
    <w:p w14:paraId="673BA2EF" w14:textId="77777777" w:rsidR="00D86934" w:rsidRPr="00D86934" w:rsidRDefault="00D86934" w:rsidP="00D86934">
      <w:pPr>
        <w:numPr>
          <w:ilvl w:val="0"/>
          <w:numId w:val="4"/>
        </w:numPr>
        <w:spacing w:after="0"/>
        <w:jc w:val="both"/>
      </w:pPr>
      <w:r w:rsidRPr="00D86934">
        <w:t>taraflarning jarayonda ishtirok etish huquqi;</w:t>
      </w:r>
    </w:p>
    <w:p w14:paraId="75E698E4" w14:textId="77777777" w:rsidR="00D86934" w:rsidRPr="00D86934" w:rsidRDefault="00D86934" w:rsidP="00D86934">
      <w:pPr>
        <w:numPr>
          <w:ilvl w:val="0"/>
          <w:numId w:val="4"/>
        </w:numPr>
        <w:spacing w:after="0"/>
        <w:jc w:val="both"/>
      </w:pPr>
      <w:r w:rsidRPr="00D86934">
        <w:t>dalillarni tayyorlash va taqdim etish imkoniyati;</w:t>
      </w:r>
    </w:p>
    <w:p w14:paraId="2A845C83" w14:textId="77777777" w:rsidR="00D86934" w:rsidRPr="00D86934" w:rsidRDefault="00D86934" w:rsidP="00D86934">
      <w:pPr>
        <w:numPr>
          <w:ilvl w:val="0"/>
          <w:numId w:val="4"/>
        </w:numPr>
        <w:spacing w:after="0"/>
        <w:jc w:val="both"/>
      </w:pPr>
      <w:r w:rsidRPr="00D86934">
        <w:t>noto‘g‘ri xabardor qilingan taqdirda qarorni bekor qilish huquqi.</w:t>
      </w:r>
    </w:p>
    <w:p w14:paraId="32DDE6D5" w14:textId="77777777" w:rsidR="00D86934" w:rsidRPr="00D86934" w:rsidRDefault="00D86934" w:rsidP="00D86934">
      <w:pPr>
        <w:spacing w:after="0"/>
        <w:ind w:firstLine="709"/>
        <w:jc w:val="both"/>
      </w:pPr>
      <w:r w:rsidRPr="00D86934">
        <w:t>Xabarnoma tartibi buzilgan hollarda sud qarorlari bekor qilinishi mumkin. Bu nafaqat milliy sud amaliyotida, balki xalqaro standartlarda ham tasdiqlangan (masalan, Inson huquqlari bo‘yicha Yevropa konvensiyasi, 6-modda).</w:t>
      </w:r>
    </w:p>
    <w:p w14:paraId="05ED39AC" w14:textId="77777777" w:rsidR="00D86934" w:rsidRPr="00D86934" w:rsidRDefault="00D86934" w:rsidP="00D86934">
      <w:pPr>
        <w:spacing w:after="0"/>
        <w:ind w:firstLine="709"/>
        <w:jc w:val="both"/>
        <w:rPr>
          <w:b/>
          <w:bCs/>
        </w:rPr>
      </w:pPr>
      <w:r w:rsidRPr="00D86934">
        <w:rPr>
          <w:b/>
          <w:bCs/>
        </w:rPr>
        <w:t>3. Xabarnoma shakllari</w:t>
      </w:r>
    </w:p>
    <w:p w14:paraId="78CA291D" w14:textId="77777777" w:rsidR="00D86934" w:rsidRPr="00D86934" w:rsidRDefault="00D86934" w:rsidP="00D86934">
      <w:pPr>
        <w:spacing w:after="0"/>
        <w:ind w:firstLine="709"/>
        <w:jc w:val="both"/>
      </w:pPr>
      <w:r w:rsidRPr="00D86934">
        <w:t>An’anaviy ravishda pochta orqali yozma xabarnomalar yuborilgan. Ammo raqamlashtirish davrida quyidagi usullar ham keng qo‘llanmoqda:</w:t>
      </w:r>
    </w:p>
    <w:p w14:paraId="7E982F1F" w14:textId="77777777" w:rsidR="00D86934" w:rsidRPr="00D86934" w:rsidRDefault="00D86934" w:rsidP="00D86934">
      <w:pPr>
        <w:numPr>
          <w:ilvl w:val="0"/>
          <w:numId w:val="5"/>
        </w:numPr>
        <w:spacing w:after="0"/>
        <w:jc w:val="both"/>
      </w:pPr>
      <w:r w:rsidRPr="00D86934">
        <w:t>«E-SUD» tizimi orqali;</w:t>
      </w:r>
    </w:p>
    <w:p w14:paraId="2F54C68D" w14:textId="77777777" w:rsidR="00D86934" w:rsidRPr="00D86934" w:rsidRDefault="00D86934" w:rsidP="00D86934">
      <w:pPr>
        <w:numPr>
          <w:ilvl w:val="0"/>
          <w:numId w:val="5"/>
        </w:numPr>
        <w:spacing w:after="0"/>
        <w:jc w:val="both"/>
      </w:pPr>
      <w:r w:rsidRPr="00D86934">
        <w:t>SMS va telefon qo‘ng‘iroqlari;</w:t>
      </w:r>
    </w:p>
    <w:p w14:paraId="6251E6AA" w14:textId="77777777" w:rsidR="00D86934" w:rsidRPr="00D86934" w:rsidRDefault="00D86934" w:rsidP="00D86934">
      <w:pPr>
        <w:numPr>
          <w:ilvl w:val="0"/>
          <w:numId w:val="5"/>
        </w:numPr>
        <w:spacing w:after="0"/>
        <w:jc w:val="both"/>
      </w:pPr>
      <w:r w:rsidRPr="00D86934">
        <w:t>taraflar ko‘rsatgan elektron pochta manzillari orqali;</w:t>
      </w:r>
    </w:p>
    <w:p w14:paraId="7B0AE09F" w14:textId="77777777" w:rsidR="00D86934" w:rsidRPr="00D86934" w:rsidRDefault="00D86934" w:rsidP="00D86934">
      <w:pPr>
        <w:numPr>
          <w:ilvl w:val="0"/>
          <w:numId w:val="5"/>
        </w:numPr>
        <w:spacing w:after="0"/>
        <w:jc w:val="both"/>
      </w:pPr>
      <w:r w:rsidRPr="00D86934">
        <w:t>arbitraj sudlarining rasmiy saytlarida e’lon qilish orqali.</w:t>
      </w:r>
    </w:p>
    <w:p w14:paraId="6B581DEF" w14:textId="77777777" w:rsidR="00D86934" w:rsidRPr="00D86934" w:rsidRDefault="00D86934" w:rsidP="00D86934">
      <w:pPr>
        <w:spacing w:after="0"/>
        <w:ind w:firstLine="709"/>
        <w:jc w:val="both"/>
      </w:pPr>
      <w:r w:rsidRPr="00D86934">
        <w:t>Tretey sudlarida bu jarayon alohida muhimdir, chunki protsessual muddatlar qisqa bo‘ladi.</w:t>
      </w:r>
    </w:p>
    <w:p w14:paraId="2E814280" w14:textId="77777777" w:rsidR="00D86934" w:rsidRPr="00D86934" w:rsidRDefault="00D86934" w:rsidP="00D86934">
      <w:pPr>
        <w:spacing w:after="0"/>
        <w:ind w:firstLine="709"/>
        <w:jc w:val="both"/>
        <w:rPr>
          <w:b/>
          <w:bCs/>
        </w:rPr>
      </w:pPr>
      <w:r w:rsidRPr="00D86934">
        <w:rPr>
          <w:b/>
          <w:bCs/>
        </w:rPr>
        <w:t>4. Arbitraj amaliyoti</w:t>
      </w:r>
    </w:p>
    <w:p w14:paraId="2FE0F8E6" w14:textId="77777777" w:rsidR="00D86934" w:rsidRPr="00D86934" w:rsidRDefault="00D86934" w:rsidP="00D86934">
      <w:pPr>
        <w:spacing w:after="0"/>
        <w:ind w:firstLine="709"/>
        <w:jc w:val="both"/>
      </w:pPr>
      <w:r w:rsidRPr="00D86934">
        <w:rPr>
          <w:b/>
          <w:bCs/>
        </w:rPr>
        <w:lastRenderedPageBreak/>
        <w:t>YUNSITRAL Arbitraj reglamenti (2010)</w:t>
      </w:r>
      <w:r w:rsidRPr="00D86934">
        <w:t xml:space="preserve"> talablariga ko‘ra, xabarnomalar tarafga amalda yetkaziladigan usulda yuborilishi kerak. O‘zbekistonda ham arbitraj institutlari kurьerlik xizmatlari, messenjerlar va elektron platformalar orqali xabarnoma berishni qo‘llamoqda.</w:t>
      </w:r>
    </w:p>
    <w:p w14:paraId="64B96592" w14:textId="77777777" w:rsidR="00D86934" w:rsidRPr="00D86934" w:rsidRDefault="00D86934" w:rsidP="00D86934">
      <w:pPr>
        <w:spacing w:after="0"/>
        <w:ind w:firstLine="709"/>
        <w:jc w:val="both"/>
        <w:rPr>
          <w:b/>
          <w:bCs/>
        </w:rPr>
      </w:pPr>
      <w:r w:rsidRPr="00D86934">
        <w:rPr>
          <w:b/>
          <w:bCs/>
        </w:rPr>
        <w:t>5. Muammolar va yechimlar</w:t>
      </w:r>
    </w:p>
    <w:p w14:paraId="377A7FF6" w14:textId="77777777" w:rsidR="00D86934" w:rsidRPr="00D86934" w:rsidRDefault="00D86934" w:rsidP="00D86934">
      <w:pPr>
        <w:spacing w:after="0"/>
        <w:ind w:firstLine="709"/>
        <w:jc w:val="both"/>
      </w:pPr>
      <w:r w:rsidRPr="00D86934">
        <w:t>Asosiy muammolar:</w:t>
      </w:r>
    </w:p>
    <w:p w14:paraId="718BC5C0" w14:textId="77777777" w:rsidR="00D86934" w:rsidRPr="00D86934" w:rsidRDefault="00D86934" w:rsidP="00D86934">
      <w:pPr>
        <w:numPr>
          <w:ilvl w:val="0"/>
          <w:numId w:val="6"/>
        </w:numPr>
        <w:spacing w:after="0"/>
        <w:jc w:val="both"/>
      </w:pPr>
      <w:r w:rsidRPr="00D86934">
        <w:t>manzil noto‘g‘ri ko‘rsatilishi;</w:t>
      </w:r>
    </w:p>
    <w:p w14:paraId="1A2E383C" w14:textId="77777777" w:rsidR="00D86934" w:rsidRPr="00D86934" w:rsidRDefault="00D86934" w:rsidP="00D86934">
      <w:pPr>
        <w:numPr>
          <w:ilvl w:val="0"/>
          <w:numId w:val="6"/>
        </w:numPr>
        <w:spacing w:after="0"/>
        <w:jc w:val="both"/>
      </w:pPr>
      <w:r w:rsidRPr="00D86934">
        <w:t>taraflarning xabar olishdan bo‘yin tovlashi;</w:t>
      </w:r>
    </w:p>
    <w:p w14:paraId="7A301568" w14:textId="77777777" w:rsidR="00D86934" w:rsidRPr="00D86934" w:rsidRDefault="00D86934" w:rsidP="00D86934">
      <w:pPr>
        <w:numPr>
          <w:ilvl w:val="0"/>
          <w:numId w:val="6"/>
        </w:numPr>
        <w:spacing w:after="0"/>
        <w:jc w:val="both"/>
      </w:pPr>
      <w:r w:rsidRPr="00D86934">
        <w:t>texnik nosozliklar.</w:t>
      </w:r>
    </w:p>
    <w:p w14:paraId="21B23F27" w14:textId="77777777" w:rsidR="00D86934" w:rsidRPr="00D86934" w:rsidRDefault="00D86934" w:rsidP="00D86934">
      <w:pPr>
        <w:spacing w:after="0"/>
        <w:ind w:firstLine="709"/>
        <w:jc w:val="both"/>
      </w:pPr>
      <w:r w:rsidRPr="00D86934">
        <w:t>Yechim sifatida «prezumpsiya qoidasi» qo‘llanadi: agar xabarnoma oxirgi ma’lum manzilga yoki «E-SUD» tizimidagi shaxsiy kabinetga yuborilgan bo‘lsa, u yetkazilgan hisoblanadi.</w:t>
      </w:r>
    </w:p>
    <w:p w14:paraId="4E2D851F" w14:textId="77777777" w:rsidR="00D86934" w:rsidRPr="00D86934" w:rsidRDefault="00D86934" w:rsidP="00D86934">
      <w:pPr>
        <w:spacing w:after="0"/>
        <w:ind w:firstLine="709"/>
        <w:jc w:val="both"/>
        <w:rPr>
          <w:b/>
          <w:bCs/>
        </w:rPr>
      </w:pPr>
      <w:r w:rsidRPr="00D86934">
        <w:rPr>
          <w:b/>
          <w:bCs/>
        </w:rPr>
        <w:t>6. Ahamiyati</w:t>
      </w:r>
    </w:p>
    <w:p w14:paraId="4358DAD1" w14:textId="77777777" w:rsidR="00D86934" w:rsidRPr="00D86934" w:rsidRDefault="00D86934" w:rsidP="00D86934">
      <w:pPr>
        <w:spacing w:after="0"/>
        <w:ind w:firstLine="709"/>
        <w:jc w:val="both"/>
      </w:pPr>
      <w:r w:rsidRPr="00D86934">
        <w:t>Samarali xabarnoma tizimi sud tizimiga ishonchni mustahkamlaydi, taraflarning tengligini ta’minlaydi va shaffoflikni kuchaytiradi. O‘zbekistonda olib borilayotgan islohotlar jarayonida elektron xabarnomalarni takomillashtirishga alohida e’tibor qaratilmoqda.</w:t>
      </w:r>
    </w:p>
    <w:p w14:paraId="42CF54A0" w14:textId="77777777" w:rsidR="00D86934" w:rsidRPr="00D86934" w:rsidRDefault="00D86934" w:rsidP="00D86934">
      <w:pPr>
        <w:spacing w:after="0"/>
        <w:ind w:firstLine="709"/>
        <w:jc w:val="both"/>
      </w:pPr>
      <w:r w:rsidRPr="00D86934">
        <w:pict w14:anchorId="4A81432C">
          <v:rect id="_x0000_i1038" style="width:0;height:1.5pt" o:hralign="center" o:hrstd="t" o:hr="t" fillcolor="#a0a0a0" stroked="f"/>
        </w:pict>
      </w:r>
    </w:p>
    <w:p w14:paraId="26EE49A8" w14:textId="77777777" w:rsidR="00D86934" w:rsidRPr="00D86934" w:rsidRDefault="00D86934" w:rsidP="00D86934">
      <w:pPr>
        <w:spacing w:after="0"/>
        <w:ind w:firstLine="709"/>
        <w:jc w:val="both"/>
        <w:rPr>
          <w:b/>
          <w:bCs/>
        </w:rPr>
      </w:pPr>
      <w:r w:rsidRPr="00D86934">
        <w:rPr>
          <w:rFonts w:ascii="Segoe UI Emoji" w:hAnsi="Segoe UI Emoji" w:cs="Segoe UI Emoji"/>
          <w:b/>
          <w:bCs/>
        </w:rPr>
        <w:t>🇬🇧</w:t>
      </w:r>
      <w:r w:rsidRPr="00D86934">
        <w:rPr>
          <w:b/>
          <w:bCs/>
        </w:rPr>
        <w:t xml:space="preserve"> English text (~1000 words)</w:t>
      </w:r>
    </w:p>
    <w:p w14:paraId="1E8C691B" w14:textId="77777777" w:rsidR="00D86934" w:rsidRPr="00D86934" w:rsidRDefault="00D86934" w:rsidP="00D86934">
      <w:pPr>
        <w:spacing w:after="0"/>
        <w:ind w:firstLine="709"/>
        <w:jc w:val="both"/>
      </w:pPr>
      <w:r w:rsidRPr="00D86934">
        <w:rPr>
          <w:b/>
          <w:bCs/>
        </w:rPr>
        <w:t>Notices of Time and Place: Legal Basis, Forms, and Importance</w:t>
      </w:r>
    </w:p>
    <w:p w14:paraId="0BA8F7B2" w14:textId="77777777" w:rsidR="00D86934" w:rsidRPr="00D86934" w:rsidRDefault="00D86934" w:rsidP="00D86934">
      <w:pPr>
        <w:spacing w:after="0"/>
        <w:ind w:firstLine="709"/>
        <w:jc w:val="both"/>
        <w:rPr>
          <w:b/>
          <w:bCs/>
        </w:rPr>
      </w:pPr>
      <w:r w:rsidRPr="00D86934">
        <w:rPr>
          <w:b/>
          <w:bCs/>
        </w:rPr>
        <w:t>1. General provisions</w:t>
      </w:r>
    </w:p>
    <w:p w14:paraId="6C3314B2" w14:textId="77777777" w:rsidR="00D86934" w:rsidRPr="00D86934" w:rsidRDefault="00D86934" w:rsidP="00D86934">
      <w:pPr>
        <w:spacing w:after="0"/>
        <w:ind w:firstLine="709"/>
        <w:jc w:val="both"/>
      </w:pPr>
      <w:r w:rsidRPr="00D86934">
        <w:t xml:space="preserve">One of the fundamental principles of a fair trial is the right of parties to be duly and timely notified of the date and place of their hearing. This principle is enshrined in Article 44 of the Constitution of Uzbekistan, the </w:t>
      </w:r>
      <w:r w:rsidRPr="00D86934">
        <w:rPr>
          <w:b/>
          <w:bCs/>
        </w:rPr>
        <w:t>Law “On Courts”</w:t>
      </w:r>
      <w:r w:rsidRPr="00D86934">
        <w:t xml:space="preserve"> (available on </w:t>
      </w:r>
      <w:hyperlink r:id="rId9" w:tgtFrame="_new" w:history="1">
        <w:r w:rsidRPr="00D86934">
          <w:rPr>
            <w:rStyle w:val="ac"/>
          </w:rPr>
          <w:t>lex.uz</w:t>
        </w:r>
      </w:hyperlink>
      <w:r w:rsidRPr="00D86934">
        <w:t>, search by title), and procedural codes: the Civil Procedure Code, the Economic Procedure Code, the Criminal Procedure Code, and the Administrative Procedure Code.</w:t>
      </w:r>
    </w:p>
    <w:p w14:paraId="7EADD0DE" w14:textId="77777777" w:rsidR="00D86934" w:rsidRPr="00D86934" w:rsidRDefault="00D86934" w:rsidP="00D86934">
      <w:pPr>
        <w:spacing w:after="0"/>
        <w:ind w:firstLine="709"/>
        <w:jc w:val="both"/>
      </w:pPr>
      <w:r w:rsidRPr="00D86934">
        <w:t xml:space="preserve">For arbitration and arbitral tribunals, the procedure of notification is governed by the </w:t>
      </w:r>
      <w:r w:rsidRPr="00D86934">
        <w:rPr>
          <w:b/>
          <w:bCs/>
        </w:rPr>
        <w:t>Law “On Arbitration Courts”</w:t>
      </w:r>
      <w:r w:rsidRPr="00D86934">
        <w:t xml:space="preserve"> (available on </w:t>
      </w:r>
      <w:hyperlink r:id="rId10" w:tgtFrame="_new" w:history="1">
        <w:r w:rsidRPr="00D86934">
          <w:rPr>
            <w:rStyle w:val="ac"/>
          </w:rPr>
          <w:t>lex.uz</w:t>
        </w:r>
      </w:hyperlink>
      <w:r w:rsidRPr="00D86934">
        <w:t>, search by title) and the internal rules of arbitral institutions.</w:t>
      </w:r>
    </w:p>
    <w:p w14:paraId="6D32DD8A" w14:textId="77777777" w:rsidR="00D86934" w:rsidRPr="00D86934" w:rsidRDefault="00D86934" w:rsidP="00D86934">
      <w:pPr>
        <w:spacing w:after="0"/>
        <w:ind w:firstLine="709"/>
        <w:jc w:val="both"/>
        <w:rPr>
          <w:b/>
          <w:bCs/>
        </w:rPr>
      </w:pPr>
      <w:r w:rsidRPr="00D86934">
        <w:rPr>
          <w:b/>
          <w:bCs/>
        </w:rPr>
        <w:t>2. Legal guarantees</w:t>
      </w:r>
    </w:p>
    <w:p w14:paraId="5369F1F0" w14:textId="77777777" w:rsidR="00D86934" w:rsidRPr="00D86934" w:rsidRDefault="00D86934" w:rsidP="00D86934">
      <w:pPr>
        <w:spacing w:after="0"/>
        <w:ind w:firstLine="709"/>
        <w:jc w:val="both"/>
      </w:pPr>
      <w:r w:rsidRPr="00D86934">
        <w:t>Proper and timely notification guarantees:</w:t>
      </w:r>
    </w:p>
    <w:p w14:paraId="2273794D" w14:textId="77777777" w:rsidR="00D86934" w:rsidRPr="00D86934" w:rsidRDefault="00D86934" w:rsidP="00D86934">
      <w:pPr>
        <w:numPr>
          <w:ilvl w:val="0"/>
          <w:numId w:val="7"/>
        </w:numPr>
        <w:spacing w:after="0"/>
        <w:jc w:val="both"/>
      </w:pPr>
      <w:r w:rsidRPr="00D86934">
        <w:t>the right of parties to participate in proceedings;</w:t>
      </w:r>
    </w:p>
    <w:p w14:paraId="43015524" w14:textId="77777777" w:rsidR="00D86934" w:rsidRPr="00D86934" w:rsidRDefault="00D86934" w:rsidP="00D86934">
      <w:pPr>
        <w:numPr>
          <w:ilvl w:val="0"/>
          <w:numId w:val="7"/>
        </w:numPr>
        <w:spacing w:after="0"/>
        <w:jc w:val="both"/>
      </w:pPr>
      <w:r w:rsidRPr="00D86934">
        <w:t>the right to prepare arguments and evidence;</w:t>
      </w:r>
    </w:p>
    <w:p w14:paraId="252C1B93" w14:textId="77777777" w:rsidR="00D86934" w:rsidRPr="00D86934" w:rsidRDefault="00D86934" w:rsidP="00D86934">
      <w:pPr>
        <w:numPr>
          <w:ilvl w:val="0"/>
          <w:numId w:val="7"/>
        </w:numPr>
        <w:spacing w:after="0"/>
        <w:jc w:val="both"/>
      </w:pPr>
      <w:r w:rsidRPr="00D86934">
        <w:t>the right to appeal or annul decisions in cases of improper notification.</w:t>
      </w:r>
    </w:p>
    <w:p w14:paraId="282A938C" w14:textId="77777777" w:rsidR="00D86934" w:rsidRPr="00D86934" w:rsidRDefault="00D86934" w:rsidP="00D86934">
      <w:pPr>
        <w:spacing w:after="0"/>
        <w:ind w:firstLine="709"/>
        <w:jc w:val="both"/>
      </w:pPr>
      <w:r w:rsidRPr="00D86934">
        <w:t xml:space="preserve">Violation of notification rules may result in the annulment of judgments. This is confirmed both by Uzbek practice and international standards, such as Article 6 of the </w:t>
      </w:r>
      <w:r w:rsidRPr="00D86934">
        <w:rPr>
          <w:b/>
          <w:bCs/>
        </w:rPr>
        <w:t>European Convention on Human Rights</w:t>
      </w:r>
      <w:r w:rsidRPr="00D86934">
        <w:t>.</w:t>
      </w:r>
    </w:p>
    <w:p w14:paraId="046B1DBB" w14:textId="77777777" w:rsidR="00D86934" w:rsidRPr="00D86934" w:rsidRDefault="00D86934" w:rsidP="00D86934">
      <w:pPr>
        <w:spacing w:after="0"/>
        <w:ind w:firstLine="709"/>
        <w:jc w:val="both"/>
        <w:rPr>
          <w:b/>
          <w:bCs/>
        </w:rPr>
      </w:pPr>
      <w:r w:rsidRPr="00D86934">
        <w:rPr>
          <w:b/>
          <w:bCs/>
        </w:rPr>
        <w:t>3. Forms of notification</w:t>
      </w:r>
    </w:p>
    <w:p w14:paraId="1C60476F" w14:textId="77777777" w:rsidR="00D86934" w:rsidRPr="00D86934" w:rsidRDefault="00D86934" w:rsidP="00D86934">
      <w:pPr>
        <w:spacing w:after="0"/>
        <w:ind w:firstLine="709"/>
        <w:jc w:val="both"/>
      </w:pPr>
      <w:r w:rsidRPr="00D86934">
        <w:t>Traditionally, notices are sent by postal mail. However, with digitalization, other forms are increasingly used in Uzbekistan:</w:t>
      </w:r>
    </w:p>
    <w:p w14:paraId="34A11F27" w14:textId="77777777" w:rsidR="00D86934" w:rsidRPr="00D86934" w:rsidRDefault="00D86934" w:rsidP="00D86934">
      <w:pPr>
        <w:numPr>
          <w:ilvl w:val="0"/>
          <w:numId w:val="8"/>
        </w:numPr>
        <w:spacing w:after="0"/>
        <w:jc w:val="both"/>
      </w:pPr>
      <w:r w:rsidRPr="00D86934">
        <w:t>via the “E-SUD” electronic justice system,</w:t>
      </w:r>
    </w:p>
    <w:p w14:paraId="2434ECFE" w14:textId="77777777" w:rsidR="00D86934" w:rsidRPr="00D86934" w:rsidRDefault="00D86934" w:rsidP="00D86934">
      <w:pPr>
        <w:numPr>
          <w:ilvl w:val="0"/>
          <w:numId w:val="8"/>
        </w:numPr>
        <w:spacing w:after="0"/>
        <w:jc w:val="both"/>
      </w:pPr>
      <w:r w:rsidRPr="00D86934">
        <w:t>by SMS messages and phone calls,</w:t>
      </w:r>
    </w:p>
    <w:p w14:paraId="1D748D3D" w14:textId="77777777" w:rsidR="00D86934" w:rsidRPr="00D86934" w:rsidRDefault="00D86934" w:rsidP="00D86934">
      <w:pPr>
        <w:numPr>
          <w:ilvl w:val="0"/>
          <w:numId w:val="8"/>
        </w:numPr>
        <w:spacing w:after="0"/>
        <w:jc w:val="both"/>
      </w:pPr>
      <w:r w:rsidRPr="00D86934">
        <w:t>by emails provided by the parties,</w:t>
      </w:r>
    </w:p>
    <w:p w14:paraId="1B5B2325" w14:textId="77777777" w:rsidR="00D86934" w:rsidRPr="00D86934" w:rsidRDefault="00D86934" w:rsidP="00D86934">
      <w:pPr>
        <w:numPr>
          <w:ilvl w:val="0"/>
          <w:numId w:val="8"/>
        </w:numPr>
        <w:spacing w:after="0"/>
        <w:jc w:val="both"/>
      </w:pPr>
      <w:r w:rsidRPr="00D86934">
        <w:t>by posting on the official websites of arbitral institutions.</w:t>
      </w:r>
    </w:p>
    <w:p w14:paraId="12600EF2" w14:textId="77777777" w:rsidR="00D86934" w:rsidRPr="00D86934" w:rsidRDefault="00D86934" w:rsidP="00D86934">
      <w:pPr>
        <w:spacing w:after="0"/>
        <w:ind w:firstLine="709"/>
        <w:jc w:val="both"/>
        <w:rPr>
          <w:lang w:val="en-US"/>
        </w:rPr>
      </w:pPr>
      <w:r w:rsidRPr="00D86934">
        <w:rPr>
          <w:lang w:val="en-US"/>
        </w:rPr>
        <w:lastRenderedPageBreak/>
        <w:t>In arbitration proceedings, timely notification is particularly important as procedural deadlines are shorter than in state courts.</w:t>
      </w:r>
    </w:p>
    <w:p w14:paraId="0A2A1EDA" w14:textId="77777777" w:rsidR="00D86934" w:rsidRPr="00D86934" w:rsidRDefault="00D86934" w:rsidP="00D86934">
      <w:pPr>
        <w:spacing w:after="0"/>
        <w:ind w:firstLine="709"/>
        <w:jc w:val="both"/>
        <w:rPr>
          <w:b/>
          <w:bCs/>
          <w:lang w:val="en-US"/>
        </w:rPr>
      </w:pPr>
      <w:r w:rsidRPr="00D86934">
        <w:rPr>
          <w:b/>
          <w:bCs/>
          <w:lang w:val="en-US"/>
        </w:rPr>
        <w:t>4. Arbitral practice</w:t>
      </w:r>
    </w:p>
    <w:p w14:paraId="0CEE48DF" w14:textId="77777777" w:rsidR="00D86934" w:rsidRPr="00D86934" w:rsidRDefault="00D86934" w:rsidP="00D86934">
      <w:pPr>
        <w:spacing w:after="0"/>
        <w:ind w:firstLine="709"/>
        <w:jc w:val="both"/>
        <w:rPr>
          <w:lang w:val="en-US"/>
        </w:rPr>
      </w:pPr>
      <w:r w:rsidRPr="00D86934">
        <w:rPr>
          <w:lang w:val="en-US"/>
        </w:rPr>
        <w:t xml:space="preserve">According to the </w:t>
      </w:r>
      <w:r w:rsidRPr="00D86934">
        <w:rPr>
          <w:b/>
          <w:bCs/>
          <w:lang w:val="en-US"/>
        </w:rPr>
        <w:t>UNCITRAL Arbitration Rules (2010)</w:t>
      </w:r>
      <w:r w:rsidRPr="00D86934">
        <w:rPr>
          <w:lang w:val="en-US"/>
        </w:rPr>
        <w:t>, notices must be delivered in a manner ensuring actual receipt. Uzbek arbitral institutions also adopt flexible practices, allowing courier services, messengers, and electronic platforms as valid methods.</w:t>
      </w:r>
    </w:p>
    <w:p w14:paraId="2C6E44EA" w14:textId="77777777" w:rsidR="00D86934" w:rsidRPr="00D86934" w:rsidRDefault="00D86934" w:rsidP="00D86934">
      <w:pPr>
        <w:spacing w:after="0"/>
        <w:ind w:firstLine="709"/>
        <w:jc w:val="both"/>
        <w:rPr>
          <w:b/>
          <w:bCs/>
          <w:lang w:val="en-US"/>
        </w:rPr>
      </w:pPr>
      <w:r w:rsidRPr="00D86934">
        <w:rPr>
          <w:b/>
          <w:bCs/>
          <w:lang w:val="en-US"/>
        </w:rPr>
        <w:t>5. Problems and solutions</w:t>
      </w:r>
    </w:p>
    <w:p w14:paraId="1D569DCD" w14:textId="77777777" w:rsidR="00D86934" w:rsidRPr="00D86934" w:rsidRDefault="00D86934" w:rsidP="00D86934">
      <w:pPr>
        <w:spacing w:after="0"/>
        <w:ind w:firstLine="709"/>
        <w:jc w:val="both"/>
        <w:rPr>
          <w:lang w:val="en-US"/>
        </w:rPr>
      </w:pPr>
      <w:r w:rsidRPr="00D86934">
        <w:rPr>
          <w:lang w:val="en-US"/>
        </w:rPr>
        <w:t>The main challenges are:</w:t>
      </w:r>
    </w:p>
    <w:p w14:paraId="1EF07E51" w14:textId="77777777" w:rsidR="00D86934" w:rsidRPr="00D86934" w:rsidRDefault="00D86934" w:rsidP="00D86934">
      <w:pPr>
        <w:numPr>
          <w:ilvl w:val="0"/>
          <w:numId w:val="9"/>
        </w:numPr>
        <w:spacing w:after="0"/>
        <w:jc w:val="both"/>
      </w:pPr>
      <w:r w:rsidRPr="00D86934">
        <w:t>incorrect addresses;</w:t>
      </w:r>
    </w:p>
    <w:p w14:paraId="0B2AAFC9" w14:textId="77777777" w:rsidR="00D86934" w:rsidRPr="00D86934" w:rsidRDefault="00D86934" w:rsidP="00D86934">
      <w:pPr>
        <w:numPr>
          <w:ilvl w:val="0"/>
          <w:numId w:val="9"/>
        </w:numPr>
        <w:spacing w:after="0"/>
        <w:jc w:val="both"/>
        <w:rPr>
          <w:lang w:val="en-US"/>
        </w:rPr>
      </w:pPr>
      <w:r w:rsidRPr="00D86934">
        <w:rPr>
          <w:lang w:val="en-US"/>
        </w:rPr>
        <w:t>abuse of rights (avoiding receipt);</w:t>
      </w:r>
    </w:p>
    <w:p w14:paraId="7FA67AFF" w14:textId="77777777" w:rsidR="00D86934" w:rsidRPr="00D86934" w:rsidRDefault="00D86934" w:rsidP="00D86934">
      <w:pPr>
        <w:numPr>
          <w:ilvl w:val="0"/>
          <w:numId w:val="9"/>
        </w:numPr>
        <w:spacing w:after="0"/>
        <w:jc w:val="both"/>
        <w:rPr>
          <w:lang w:val="en-US"/>
        </w:rPr>
      </w:pPr>
      <w:r w:rsidRPr="00D86934">
        <w:rPr>
          <w:lang w:val="en-US"/>
        </w:rPr>
        <w:t>technical failures in electronic systems.</w:t>
      </w:r>
    </w:p>
    <w:p w14:paraId="30C985B1" w14:textId="77777777" w:rsidR="00D86934" w:rsidRPr="00D86934" w:rsidRDefault="00D86934" w:rsidP="00D86934">
      <w:pPr>
        <w:spacing w:after="0"/>
        <w:ind w:firstLine="709"/>
        <w:jc w:val="both"/>
        <w:rPr>
          <w:lang w:val="en-US"/>
        </w:rPr>
      </w:pPr>
      <w:r w:rsidRPr="00D86934">
        <w:rPr>
          <w:lang w:val="en-US"/>
        </w:rPr>
        <w:t>A common solution is the presumption rule: if a notice is sent to the last known address or through the “E-SUD” personal account, it is considered delivered.</w:t>
      </w:r>
    </w:p>
    <w:p w14:paraId="3E1AB749" w14:textId="77777777" w:rsidR="00D86934" w:rsidRPr="00D86934" w:rsidRDefault="00D86934" w:rsidP="00D86934">
      <w:pPr>
        <w:spacing w:after="0"/>
        <w:ind w:firstLine="709"/>
        <w:jc w:val="both"/>
        <w:rPr>
          <w:b/>
          <w:bCs/>
          <w:lang w:val="en-US"/>
        </w:rPr>
      </w:pPr>
      <w:r w:rsidRPr="00D86934">
        <w:rPr>
          <w:b/>
          <w:bCs/>
          <w:lang w:val="en-US"/>
        </w:rPr>
        <w:t>6. Importance for public trust</w:t>
      </w:r>
    </w:p>
    <w:p w14:paraId="21F63926" w14:textId="77777777" w:rsidR="00D86934" w:rsidRPr="00D86934" w:rsidRDefault="00D86934" w:rsidP="00D86934">
      <w:pPr>
        <w:spacing w:after="0"/>
        <w:ind w:firstLine="709"/>
        <w:jc w:val="both"/>
        <w:rPr>
          <w:lang w:val="en-US"/>
        </w:rPr>
      </w:pPr>
      <w:r w:rsidRPr="00D86934">
        <w:rPr>
          <w:lang w:val="en-US"/>
        </w:rPr>
        <w:t>An effective notification system enhances transparency, equality of arms, and public trust in justice. In the context of Uzbekistan’s reforms, digital notifications and integration with e-government services are a priority.</w:t>
      </w:r>
    </w:p>
    <w:p w14:paraId="470E233F" w14:textId="77777777" w:rsidR="00F12C76" w:rsidRPr="00D86934" w:rsidRDefault="00F12C76" w:rsidP="006C0B77">
      <w:pPr>
        <w:spacing w:after="0"/>
        <w:ind w:firstLine="709"/>
        <w:jc w:val="both"/>
        <w:rPr>
          <w:lang w:val="en-US"/>
        </w:rPr>
      </w:pPr>
    </w:p>
    <w:sectPr w:rsidR="00F12C76" w:rsidRPr="00D8693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726A3"/>
    <w:multiLevelType w:val="multilevel"/>
    <w:tmpl w:val="02EC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45197"/>
    <w:multiLevelType w:val="multilevel"/>
    <w:tmpl w:val="87A0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E27B1"/>
    <w:multiLevelType w:val="multilevel"/>
    <w:tmpl w:val="E924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E0AF2"/>
    <w:multiLevelType w:val="multilevel"/>
    <w:tmpl w:val="1C6A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F24EA0"/>
    <w:multiLevelType w:val="multilevel"/>
    <w:tmpl w:val="09B2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087A8B"/>
    <w:multiLevelType w:val="multilevel"/>
    <w:tmpl w:val="091E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4154F0"/>
    <w:multiLevelType w:val="multilevel"/>
    <w:tmpl w:val="A53A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11127E"/>
    <w:multiLevelType w:val="multilevel"/>
    <w:tmpl w:val="1E5C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D3346D"/>
    <w:multiLevelType w:val="multilevel"/>
    <w:tmpl w:val="D4CA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349321">
    <w:abstractNumId w:val="8"/>
  </w:num>
  <w:num w:numId="2" w16cid:durableId="1694189956">
    <w:abstractNumId w:val="5"/>
  </w:num>
  <w:num w:numId="3" w16cid:durableId="1636913720">
    <w:abstractNumId w:val="1"/>
  </w:num>
  <w:num w:numId="4" w16cid:durableId="1825006722">
    <w:abstractNumId w:val="7"/>
  </w:num>
  <w:num w:numId="5" w16cid:durableId="751854075">
    <w:abstractNumId w:val="3"/>
  </w:num>
  <w:num w:numId="6" w16cid:durableId="499545887">
    <w:abstractNumId w:val="0"/>
  </w:num>
  <w:num w:numId="7" w16cid:durableId="1293828936">
    <w:abstractNumId w:val="4"/>
  </w:num>
  <w:num w:numId="8" w16cid:durableId="683283737">
    <w:abstractNumId w:val="6"/>
  </w:num>
  <w:num w:numId="9" w16cid:durableId="1371681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D4"/>
    <w:rsid w:val="00227839"/>
    <w:rsid w:val="006A18D4"/>
    <w:rsid w:val="006C0B77"/>
    <w:rsid w:val="007109E9"/>
    <w:rsid w:val="008242FF"/>
    <w:rsid w:val="00870751"/>
    <w:rsid w:val="00922C48"/>
    <w:rsid w:val="00B915B7"/>
    <w:rsid w:val="00D8693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58F3"/>
  <w15:chartTrackingRefBased/>
  <w15:docId w15:val="{F774524F-6C0B-4083-AAD7-62EAA652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6A18D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6A18D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6A18D4"/>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6A18D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6A18D4"/>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6A18D4"/>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6A18D4"/>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6A18D4"/>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6A18D4"/>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18D4"/>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6A18D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6A18D4"/>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6A18D4"/>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6A18D4"/>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6A18D4"/>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6A18D4"/>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6A18D4"/>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6A18D4"/>
    <w:rPr>
      <w:rFonts w:eastAsiaTheme="majorEastAsia" w:cstheme="majorBidi"/>
      <w:color w:val="272727" w:themeColor="text1" w:themeTint="D8"/>
      <w:sz w:val="28"/>
    </w:rPr>
  </w:style>
  <w:style w:type="paragraph" w:styleId="a3">
    <w:name w:val="Title"/>
    <w:basedOn w:val="a"/>
    <w:next w:val="a"/>
    <w:link w:val="a4"/>
    <w:uiPriority w:val="10"/>
    <w:qFormat/>
    <w:rsid w:val="006A18D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A1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8D4"/>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6A18D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A18D4"/>
    <w:pPr>
      <w:spacing w:before="160"/>
      <w:jc w:val="center"/>
    </w:pPr>
    <w:rPr>
      <w:i/>
      <w:iCs/>
      <w:color w:val="404040" w:themeColor="text1" w:themeTint="BF"/>
    </w:rPr>
  </w:style>
  <w:style w:type="character" w:customStyle="1" w:styleId="22">
    <w:name w:val="Цитата 2 Знак"/>
    <w:basedOn w:val="a0"/>
    <w:link w:val="21"/>
    <w:uiPriority w:val="29"/>
    <w:rsid w:val="006A18D4"/>
    <w:rPr>
      <w:rFonts w:ascii="Times New Roman" w:hAnsi="Times New Roman"/>
      <w:i/>
      <w:iCs/>
      <w:color w:val="404040" w:themeColor="text1" w:themeTint="BF"/>
      <w:sz w:val="28"/>
    </w:rPr>
  </w:style>
  <w:style w:type="paragraph" w:styleId="a7">
    <w:name w:val="List Paragraph"/>
    <w:basedOn w:val="a"/>
    <w:uiPriority w:val="34"/>
    <w:qFormat/>
    <w:rsid w:val="006A18D4"/>
    <w:pPr>
      <w:ind w:left="720"/>
      <w:contextualSpacing/>
    </w:pPr>
  </w:style>
  <w:style w:type="character" w:styleId="a8">
    <w:name w:val="Intense Emphasis"/>
    <w:basedOn w:val="a0"/>
    <w:uiPriority w:val="21"/>
    <w:qFormat/>
    <w:rsid w:val="006A18D4"/>
    <w:rPr>
      <w:i/>
      <w:iCs/>
      <w:color w:val="2E74B5" w:themeColor="accent1" w:themeShade="BF"/>
    </w:rPr>
  </w:style>
  <w:style w:type="paragraph" w:styleId="a9">
    <w:name w:val="Intense Quote"/>
    <w:basedOn w:val="a"/>
    <w:next w:val="a"/>
    <w:link w:val="aa"/>
    <w:uiPriority w:val="30"/>
    <w:qFormat/>
    <w:rsid w:val="006A18D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6A18D4"/>
    <w:rPr>
      <w:rFonts w:ascii="Times New Roman" w:hAnsi="Times New Roman"/>
      <w:i/>
      <w:iCs/>
      <w:color w:val="2E74B5" w:themeColor="accent1" w:themeShade="BF"/>
      <w:sz w:val="28"/>
    </w:rPr>
  </w:style>
  <w:style w:type="character" w:styleId="ab">
    <w:name w:val="Intense Reference"/>
    <w:basedOn w:val="a0"/>
    <w:uiPriority w:val="32"/>
    <w:qFormat/>
    <w:rsid w:val="006A18D4"/>
    <w:rPr>
      <w:b/>
      <w:bCs/>
      <w:smallCaps/>
      <w:color w:val="2E74B5" w:themeColor="accent1" w:themeShade="BF"/>
      <w:spacing w:val="5"/>
    </w:rPr>
  </w:style>
  <w:style w:type="character" w:styleId="ac">
    <w:name w:val="Hyperlink"/>
    <w:basedOn w:val="a0"/>
    <w:uiPriority w:val="99"/>
    <w:unhideWhenUsed/>
    <w:rsid w:val="00D86934"/>
    <w:rPr>
      <w:color w:val="0563C1" w:themeColor="hyperlink"/>
      <w:u w:val="single"/>
    </w:rPr>
  </w:style>
  <w:style w:type="character" w:styleId="ad">
    <w:name w:val="Unresolved Mention"/>
    <w:basedOn w:val="a0"/>
    <w:uiPriority w:val="99"/>
    <w:semiHidden/>
    <w:unhideWhenUsed/>
    <w:rsid w:val="00D86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uz?utm_source=chatgpt.com" TargetMode="External"/><Relationship Id="rId3" Type="http://schemas.openxmlformats.org/officeDocument/2006/relationships/settings" Target="settings.xml"/><Relationship Id="rId7" Type="http://schemas.openxmlformats.org/officeDocument/2006/relationships/hyperlink" Target="https://www.lex.uz?utm_source=chatgp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x.uz?utm_source=chatgpt.com" TargetMode="External"/><Relationship Id="rId11" Type="http://schemas.openxmlformats.org/officeDocument/2006/relationships/fontTable" Target="fontTable.xml"/><Relationship Id="rId5" Type="http://schemas.openxmlformats.org/officeDocument/2006/relationships/hyperlink" Target="https://www.lex.uz?utm_source=chatgpt.com" TargetMode="External"/><Relationship Id="rId10" Type="http://schemas.openxmlformats.org/officeDocument/2006/relationships/hyperlink" Target="https://www.lex.uz?utm_source=chatgpt.com" TargetMode="External"/><Relationship Id="rId4" Type="http://schemas.openxmlformats.org/officeDocument/2006/relationships/webSettings" Target="webSettings.xml"/><Relationship Id="rId9" Type="http://schemas.openxmlformats.org/officeDocument/2006/relationships/hyperlink" Target="https://www.lex.uz?utm_source=chatgp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1248</Words>
  <Characters>7115</Characters>
  <Application>Microsoft Office Word</Application>
  <DocSecurity>0</DocSecurity>
  <Lines>59</Lines>
  <Paragraphs>16</Paragraphs>
  <ScaleCrop>false</ScaleCrop>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Bakhodirov Farrukh</dc:creator>
  <cp:keywords/>
  <dc:description/>
  <cp:lastModifiedBy>Bakhodirov Farrukh</cp:lastModifiedBy>
  <cp:revision>2</cp:revision>
  <dcterms:created xsi:type="dcterms:W3CDTF">2025-09-03T11:05:00Z</dcterms:created>
  <dcterms:modified xsi:type="dcterms:W3CDTF">2025-09-03T11:06:00Z</dcterms:modified>
</cp:coreProperties>
</file>