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D295D" w14:textId="7A3893CC" w:rsidR="00181E65" w:rsidRDefault="00181E65"/>
    <w:p w14:paraId="678AF018" w14:textId="77777777" w:rsidR="00181E65" w:rsidRDefault="00181E65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963"/>
      </w:tblGrid>
      <w:tr w:rsidR="00611219" w:rsidRPr="002B73FC" w14:paraId="0113A8FE" w14:textId="77777777" w:rsidTr="00611219">
        <w:tc>
          <w:tcPr>
            <w:tcW w:w="4643" w:type="dxa"/>
          </w:tcPr>
          <w:p w14:paraId="1C3EC51D" w14:textId="77777777" w:rsidR="00611219" w:rsidRDefault="00611219">
            <w:pPr>
              <w:ind w:firstLine="567"/>
              <w:rPr>
                <w:rFonts w:eastAsiaTheme="minorHAnsi"/>
                <w:sz w:val="24"/>
                <w:szCs w:val="24"/>
                <w:lang w:val="uz-Cyrl-UZ" w:eastAsia="en-US"/>
              </w:rPr>
            </w:pPr>
            <w:r>
              <w:rPr>
                <w:sz w:val="24"/>
                <w:szCs w:val="24"/>
                <w:lang w:val="uz-Cyrl-UZ"/>
              </w:rPr>
              <w:t xml:space="preserve">                                              </w:t>
            </w:r>
          </w:p>
          <w:p w14:paraId="2F1CAB53" w14:textId="77777777" w:rsidR="00611219" w:rsidRDefault="00611219">
            <w:pPr>
              <w:ind w:firstLine="567"/>
              <w:rPr>
                <w:sz w:val="24"/>
                <w:szCs w:val="24"/>
                <w:lang w:val="uz-Cyrl-UZ"/>
              </w:rPr>
            </w:pPr>
          </w:p>
          <w:p w14:paraId="79E5550F" w14:textId="77777777" w:rsidR="00611219" w:rsidRDefault="00611219">
            <w:pPr>
              <w:ind w:firstLine="567"/>
              <w:rPr>
                <w:sz w:val="24"/>
                <w:szCs w:val="24"/>
                <w:lang w:val="uz-Cyrl-UZ"/>
              </w:rPr>
            </w:pPr>
          </w:p>
          <w:p w14:paraId="6DFD0C58" w14:textId="77777777" w:rsidR="00611219" w:rsidRDefault="00611219">
            <w:pPr>
              <w:ind w:firstLine="567"/>
              <w:rPr>
                <w:sz w:val="24"/>
                <w:szCs w:val="24"/>
                <w:lang w:val="uz-Cyrl-UZ"/>
              </w:rPr>
            </w:pPr>
          </w:p>
          <w:p w14:paraId="1FCF7B64" w14:textId="77777777" w:rsidR="00611219" w:rsidRDefault="00611219">
            <w:pPr>
              <w:ind w:firstLine="567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                                            </w:t>
            </w:r>
            <w:r>
              <w:rPr>
                <w:b/>
                <w:sz w:val="24"/>
                <w:szCs w:val="24"/>
                <w:lang w:val="uz-Cyrl-UZ"/>
              </w:rPr>
              <w:t>даъвогар:</w:t>
            </w:r>
          </w:p>
          <w:p w14:paraId="75BD62B2" w14:textId="77777777" w:rsidR="00611219" w:rsidRDefault="00611219">
            <w:pPr>
              <w:ind w:firstLine="567"/>
              <w:rPr>
                <w:b/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963" w:type="dxa"/>
          </w:tcPr>
          <w:p w14:paraId="7D804FC8" w14:textId="77777777" w:rsidR="00611219" w:rsidRDefault="00611219">
            <w:pPr>
              <w:jc w:val="both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“Sam Lex Universalis” адвокатлик фирмаси хузуридаги доимий фаолият кўрсатувчи халқаро тижорат хакамлик судига</w:t>
            </w:r>
          </w:p>
          <w:p w14:paraId="3E819515" w14:textId="77777777" w:rsidR="00611219" w:rsidRDefault="00611219">
            <w:pPr>
              <w:jc w:val="both"/>
              <w:rPr>
                <w:sz w:val="24"/>
                <w:szCs w:val="24"/>
                <w:lang w:val="uz-Cyrl-UZ"/>
              </w:rPr>
            </w:pPr>
          </w:p>
          <w:p w14:paraId="5B2DA4AF" w14:textId="4ADA4730" w:rsidR="00611219" w:rsidRDefault="00611219" w:rsidP="009B0790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b/>
                <w:bCs/>
                <w:sz w:val="24"/>
                <w:szCs w:val="24"/>
                <w:lang w:val="uz-Cyrl-UZ"/>
              </w:rPr>
              <w:t>“SAMARQAND</w:t>
            </w:r>
            <w:r>
              <w:rPr>
                <w:b/>
                <w:sz w:val="24"/>
                <w:szCs w:val="24"/>
                <w:lang w:val="uz-Cyrl-UZ"/>
              </w:rPr>
              <w:t xml:space="preserve">” масъулияти чекланган жамияти </w:t>
            </w:r>
            <w:r w:rsidR="009B0790">
              <w:rPr>
                <w:b/>
                <w:sz w:val="24"/>
                <w:szCs w:val="24"/>
                <w:lang w:val="uz-Cyrl-UZ"/>
              </w:rPr>
              <w:t xml:space="preserve">томонидан </w:t>
            </w:r>
          </w:p>
        </w:tc>
      </w:tr>
      <w:tr w:rsidR="00611219" w:rsidRPr="002B73FC" w14:paraId="7E877C95" w14:textId="77777777" w:rsidTr="00611219">
        <w:tc>
          <w:tcPr>
            <w:tcW w:w="4643" w:type="dxa"/>
            <w:hideMark/>
          </w:tcPr>
          <w:p w14:paraId="6A46BC76" w14:textId="262A9671" w:rsidR="00611219" w:rsidRDefault="00611219">
            <w:pPr>
              <w:ind w:firstLine="567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 xml:space="preserve">                                              </w:t>
            </w:r>
          </w:p>
        </w:tc>
        <w:tc>
          <w:tcPr>
            <w:tcW w:w="4963" w:type="dxa"/>
          </w:tcPr>
          <w:p w14:paraId="423B786B" w14:textId="77777777" w:rsidR="00611219" w:rsidRDefault="00611219">
            <w:pPr>
              <w:jc w:val="both"/>
              <w:rPr>
                <w:rFonts w:eastAsiaTheme="minorHAnsi"/>
                <w:sz w:val="24"/>
                <w:szCs w:val="24"/>
                <w:lang w:val="uz-Cyrl-UZ"/>
              </w:rPr>
            </w:pPr>
          </w:p>
        </w:tc>
      </w:tr>
    </w:tbl>
    <w:p w14:paraId="66EB2813" w14:textId="77777777" w:rsidR="009B0790" w:rsidRPr="00EF35D1" w:rsidRDefault="009B0790" w:rsidP="00611219">
      <w:pPr>
        <w:jc w:val="center"/>
        <w:rPr>
          <w:b/>
          <w:sz w:val="22"/>
          <w:szCs w:val="22"/>
          <w:lang w:val="uz-Cyrl-UZ"/>
        </w:rPr>
      </w:pPr>
      <w:r w:rsidRPr="00EF35D1">
        <w:rPr>
          <w:b/>
          <w:sz w:val="22"/>
          <w:szCs w:val="22"/>
          <w:lang w:val="uz-Cyrl-UZ"/>
        </w:rPr>
        <w:t xml:space="preserve">Илтимоснома </w:t>
      </w:r>
    </w:p>
    <w:p w14:paraId="4CB41274" w14:textId="40FC70B5" w:rsidR="009B0790" w:rsidRPr="00EF35D1" w:rsidRDefault="00A80C36" w:rsidP="00611219">
      <w:pPr>
        <w:jc w:val="center"/>
        <w:rPr>
          <w:bCs/>
          <w:sz w:val="22"/>
          <w:szCs w:val="22"/>
          <w:lang w:val="uz-Cyrl-UZ"/>
        </w:rPr>
      </w:pPr>
      <w:r>
        <w:rPr>
          <w:bCs/>
          <w:sz w:val="22"/>
          <w:szCs w:val="22"/>
          <w:lang w:val="uz-Cyrl-UZ"/>
        </w:rPr>
        <w:t>(</w:t>
      </w:r>
      <w:r w:rsidR="00181E65" w:rsidRPr="00EF35D1">
        <w:rPr>
          <w:bCs/>
          <w:sz w:val="22"/>
          <w:szCs w:val="22"/>
          <w:lang w:val="uz-Cyrl-UZ"/>
        </w:rPr>
        <w:t>№ 23-24-01-01-00</w:t>
      </w:r>
      <w:r w:rsidR="002B73FC">
        <w:rPr>
          <w:bCs/>
          <w:sz w:val="22"/>
          <w:szCs w:val="22"/>
          <w:lang w:val="uz-Cyrl-UZ"/>
        </w:rPr>
        <w:t>0</w:t>
      </w:r>
      <w:r w:rsidR="00181E65" w:rsidRPr="00EF35D1">
        <w:rPr>
          <w:bCs/>
          <w:sz w:val="22"/>
          <w:szCs w:val="22"/>
          <w:lang w:val="uz-Cyrl-UZ"/>
        </w:rPr>
        <w:t>-сонли и</w:t>
      </w:r>
      <w:r w:rsidR="009B0790" w:rsidRPr="00EF35D1">
        <w:rPr>
          <w:bCs/>
          <w:sz w:val="22"/>
          <w:szCs w:val="22"/>
          <w:lang w:val="uz-Cyrl-UZ"/>
        </w:rPr>
        <w:t>шни кўришни бошқа кунга қолдириш тўғрисида</w:t>
      </w:r>
      <w:r>
        <w:rPr>
          <w:bCs/>
          <w:sz w:val="22"/>
          <w:szCs w:val="22"/>
          <w:lang w:val="uz-Cyrl-UZ"/>
        </w:rPr>
        <w:t>)</w:t>
      </w:r>
    </w:p>
    <w:p w14:paraId="0934B006" w14:textId="77777777" w:rsidR="009B0790" w:rsidRPr="00EF35D1" w:rsidRDefault="009B0790" w:rsidP="00611219">
      <w:pPr>
        <w:tabs>
          <w:tab w:val="left" w:pos="993"/>
        </w:tabs>
        <w:ind w:firstLine="709"/>
        <w:jc w:val="both"/>
        <w:rPr>
          <w:bCs/>
          <w:sz w:val="22"/>
          <w:szCs w:val="22"/>
          <w:lang w:val="uz-Cyrl-UZ"/>
        </w:rPr>
      </w:pPr>
    </w:p>
    <w:p w14:paraId="1D2EE293" w14:textId="6D86373D" w:rsidR="00AA23CC" w:rsidRPr="00C3192C" w:rsidRDefault="00EF35D1" w:rsidP="00C3192C">
      <w:pPr>
        <w:ind w:firstLine="567"/>
        <w:jc w:val="both"/>
        <w:rPr>
          <w:sz w:val="24"/>
          <w:szCs w:val="24"/>
          <w:lang w:val="uz-Cyrl-UZ"/>
        </w:rPr>
      </w:pPr>
      <w:r w:rsidRPr="00C3192C">
        <w:rPr>
          <w:sz w:val="24"/>
          <w:szCs w:val="24"/>
          <w:lang w:val="uz-Cyrl-UZ"/>
        </w:rPr>
        <w:t>“Sam Lex Universalis” хакамлик суди</w:t>
      </w:r>
      <w:r w:rsidR="00F356C3" w:rsidRPr="00C3192C">
        <w:rPr>
          <w:sz w:val="24"/>
          <w:szCs w:val="24"/>
          <w:lang w:val="uz-Cyrl-UZ"/>
        </w:rPr>
        <w:t>д</w:t>
      </w:r>
      <w:r w:rsidRPr="00C3192C">
        <w:rPr>
          <w:sz w:val="24"/>
          <w:szCs w:val="24"/>
          <w:lang w:val="uz-Cyrl-UZ"/>
        </w:rPr>
        <w:t>а</w:t>
      </w:r>
      <w:r w:rsidR="00F356C3" w:rsidRPr="00C3192C">
        <w:rPr>
          <w:sz w:val="24"/>
          <w:szCs w:val="24"/>
          <w:lang w:val="uz-Cyrl-UZ"/>
        </w:rPr>
        <w:t xml:space="preserve"> </w:t>
      </w:r>
      <w:r w:rsidR="00611219" w:rsidRPr="00C3192C">
        <w:rPr>
          <w:sz w:val="24"/>
          <w:szCs w:val="24"/>
          <w:lang w:val="uz-Cyrl-UZ"/>
        </w:rPr>
        <w:t>“SAMARQAND” масъулияти чекланган жамияти</w:t>
      </w:r>
      <w:r w:rsidR="00F356C3" w:rsidRPr="00C3192C">
        <w:rPr>
          <w:sz w:val="24"/>
          <w:szCs w:val="24"/>
          <w:lang w:val="uz-Cyrl-UZ"/>
        </w:rPr>
        <w:t xml:space="preserve">нинг </w:t>
      </w:r>
      <w:r w:rsidR="00AD5CE8">
        <w:rPr>
          <w:sz w:val="24"/>
          <w:szCs w:val="24"/>
          <w:lang w:val="uz-Cyrl-UZ"/>
        </w:rPr>
        <w:t xml:space="preserve">“BUXORO” масъулияти чекланган жамиятига нисбатан берилган </w:t>
      </w:r>
      <w:r w:rsidR="00F356C3" w:rsidRPr="00C3192C">
        <w:rPr>
          <w:sz w:val="24"/>
          <w:szCs w:val="24"/>
          <w:lang w:val="uz-Cyrl-UZ"/>
        </w:rPr>
        <w:t xml:space="preserve">даъво аризаси бўйича қўзғатилган хакамлик иши кўриб чиқилмоқда. </w:t>
      </w:r>
      <w:r w:rsidR="00075A2C" w:rsidRPr="00C3192C">
        <w:rPr>
          <w:sz w:val="24"/>
          <w:szCs w:val="24"/>
          <w:lang w:val="uz-Cyrl-UZ"/>
        </w:rPr>
        <w:t xml:space="preserve">Суд мажлисида иш хужжатлари билан танишиб чиқиш ва хакамлик мухокамаси натижаси бўйича </w:t>
      </w:r>
      <w:r w:rsidR="00AA23CC" w:rsidRPr="00C3192C">
        <w:rPr>
          <w:sz w:val="24"/>
          <w:szCs w:val="24"/>
          <w:lang w:val="uz-Cyrl-UZ"/>
        </w:rPr>
        <w:t xml:space="preserve">иш юзасидан судга қўшимча хужжатлар тақдим қилиш зарурати туғилмоқда. </w:t>
      </w:r>
    </w:p>
    <w:p w14:paraId="248CD437" w14:textId="3FDA2F2B" w:rsidR="00BE31BA" w:rsidRPr="00C3192C" w:rsidRDefault="00687845" w:rsidP="00C3192C">
      <w:pPr>
        <w:ind w:firstLine="567"/>
        <w:jc w:val="both"/>
        <w:rPr>
          <w:color w:val="000000"/>
          <w:sz w:val="24"/>
          <w:szCs w:val="24"/>
          <w:lang w:val="uz-Cyrl-UZ"/>
        </w:rPr>
      </w:pPr>
      <w:r w:rsidRPr="00C3192C">
        <w:rPr>
          <w:sz w:val="24"/>
          <w:szCs w:val="24"/>
          <w:lang w:val="uz-Cyrl-UZ"/>
        </w:rPr>
        <w:t>Ўзбекистон Республикасининг “Ҳакамлик судлари тўғрисида”ги қонунининг 35 моддаси</w:t>
      </w:r>
      <w:r w:rsidR="00AA23CC" w:rsidRPr="00C3192C">
        <w:rPr>
          <w:sz w:val="24"/>
          <w:szCs w:val="24"/>
          <w:lang w:val="uz-Cyrl-UZ"/>
        </w:rPr>
        <w:t xml:space="preserve">га асосан </w:t>
      </w:r>
      <w:r w:rsidR="00BE31BA" w:rsidRPr="00C3192C">
        <w:rPr>
          <w:color w:val="000000"/>
          <w:sz w:val="24"/>
          <w:szCs w:val="24"/>
          <w:lang w:val="uz-Cyrl-UZ"/>
        </w:rPr>
        <w:t>Ҳакамлик муҳокамасининг ҳар бир тарафига ўз нуқтаи назарини баён этиши ҳамда ўз ҳуқуқ ва манфаатларини ҳимоя қилиши учун тенг имкониятлар берилиши керак.</w:t>
      </w:r>
    </w:p>
    <w:p w14:paraId="110C7EC5" w14:textId="0329F957" w:rsidR="00033C31" w:rsidRPr="00C3192C" w:rsidRDefault="00715347" w:rsidP="00C3192C">
      <w:pPr>
        <w:ind w:firstLine="567"/>
        <w:jc w:val="both"/>
        <w:rPr>
          <w:sz w:val="24"/>
          <w:szCs w:val="24"/>
          <w:lang w:val="uz-Cyrl-UZ"/>
        </w:rPr>
      </w:pPr>
      <w:r w:rsidRPr="00C3192C">
        <w:rPr>
          <w:sz w:val="24"/>
          <w:szCs w:val="24"/>
          <w:lang w:val="uz-Cyrl-UZ"/>
        </w:rPr>
        <w:t>“Sam Lex Universalis” хакамлик суди</w:t>
      </w:r>
      <w:r w:rsidR="00207058" w:rsidRPr="00C3192C">
        <w:rPr>
          <w:sz w:val="24"/>
          <w:szCs w:val="24"/>
          <w:lang w:val="uz-Cyrl-UZ"/>
        </w:rPr>
        <w:t xml:space="preserve"> </w:t>
      </w:r>
      <w:r w:rsidR="00687845" w:rsidRPr="00C3192C">
        <w:rPr>
          <w:sz w:val="24"/>
          <w:szCs w:val="24"/>
          <w:lang w:val="uz-Cyrl-UZ"/>
        </w:rPr>
        <w:t xml:space="preserve">Иш тартибининг 28-моддасига </w:t>
      </w:r>
      <w:r w:rsidR="00207058" w:rsidRPr="00C3192C">
        <w:rPr>
          <w:sz w:val="24"/>
          <w:szCs w:val="24"/>
          <w:lang w:val="uz-Cyrl-UZ"/>
        </w:rPr>
        <w:t xml:space="preserve">кўра </w:t>
      </w:r>
      <w:r w:rsidR="0047134E" w:rsidRPr="00C3192C">
        <w:rPr>
          <w:sz w:val="24"/>
          <w:szCs w:val="24"/>
          <w:lang w:val="uz-Cyrl-UZ"/>
        </w:rPr>
        <w:t xml:space="preserve"> Хакамлик судининг ишни кўриб чиқилишини уни шу суд мажлисида кўриб </w:t>
      </w:r>
      <w:r w:rsidR="00330940" w:rsidRPr="00C3192C">
        <w:rPr>
          <w:sz w:val="24"/>
          <w:szCs w:val="24"/>
          <w:lang w:val="uz-Cyrl-UZ"/>
        </w:rPr>
        <w:t>чиқишни и</w:t>
      </w:r>
      <w:r w:rsidR="0049030C">
        <w:rPr>
          <w:sz w:val="24"/>
          <w:szCs w:val="24"/>
          <w:lang w:val="uz-Cyrl-UZ"/>
        </w:rPr>
        <w:t>л</w:t>
      </w:r>
      <w:r w:rsidR="00330940" w:rsidRPr="00C3192C">
        <w:rPr>
          <w:sz w:val="24"/>
          <w:szCs w:val="24"/>
          <w:lang w:val="uz-Cyrl-UZ"/>
        </w:rPr>
        <w:t xml:space="preserve">ожи бўлмаса, шу жумладан ишда қатнашаётган бирон бир шахсларни, гувохларни, экспертларни, таржимонларни келмаганлиги учун ёки </w:t>
      </w:r>
      <w:r w:rsidR="00033C31" w:rsidRPr="00C3192C">
        <w:rPr>
          <w:sz w:val="24"/>
          <w:szCs w:val="24"/>
          <w:lang w:val="uz-Cyrl-UZ"/>
        </w:rPr>
        <w:t>қўшимча далиллар тақдим э</w:t>
      </w:r>
      <w:r w:rsidR="00AA0C58" w:rsidRPr="00C3192C">
        <w:rPr>
          <w:sz w:val="24"/>
          <w:szCs w:val="24"/>
          <w:lang w:val="uz-Cyrl-UZ"/>
        </w:rPr>
        <w:t>т</w:t>
      </w:r>
      <w:r w:rsidR="00033C31" w:rsidRPr="00C3192C">
        <w:rPr>
          <w:sz w:val="24"/>
          <w:szCs w:val="24"/>
          <w:lang w:val="uz-Cyrl-UZ"/>
        </w:rPr>
        <w:t xml:space="preserve">иш учун зарур бўлганда, кейинга қолдиради. </w:t>
      </w:r>
    </w:p>
    <w:p w14:paraId="37A12A9E" w14:textId="7C4F3F1E" w:rsidR="00C3192C" w:rsidRPr="00C3192C" w:rsidRDefault="00C3192C" w:rsidP="00C3192C">
      <w:pPr>
        <w:tabs>
          <w:tab w:val="left" w:pos="993"/>
        </w:tabs>
        <w:ind w:firstLine="567"/>
        <w:jc w:val="both"/>
        <w:rPr>
          <w:sz w:val="24"/>
          <w:szCs w:val="24"/>
          <w:lang w:val="uz-Cyrl-UZ"/>
        </w:rPr>
      </w:pPr>
      <w:r w:rsidRPr="00C3192C">
        <w:rPr>
          <w:sz w:val="24"/>
          <w:szCs w:val="24"/>
          <w:lang w:val="uz-Cyrl-UZ"/>
        </w:rPr>
        <w:t>Ушбу қонун нормаларига ас</w:t>
      </w:r>
      <w:r w:rsidR="0049030C">
        <w:rPr>
          <w:sz w:val="24"/>
          <w:szCs w:val="24"/>
          <w:lang w:val="uz-Cyrl-UZ"/>
        </w:rPr>
        <w:t>о</w:t>
      </w:r>
      <w:r w:rsidRPr="00C3192C">
        <w:rPr>
          <w:sz w:val="24"/>
          <w:szCs w:val="24"/>
          <w:lang w:val="uz-Cyrl-UZ"/>
        </w:rPr>
        <w:t xml:space="preserve">сланиб, Суддан мазкур иш бўйича хакамлик мухокамасини бошқа кунга қолдиришни сўрайман. </w:t>
      </w:r>
    </w:p>
    <w:p w14:paraId="64248CFE" w14:textId="073561CD" w:rsidR="00C3192C" w:rsidRDefault="00C3192C" w:rsidP="00611219">
      <w:pPr>
        <w:tabs>
          <w:tab w:val="left" w:pos="993"/>
        </w:tabs>
        <w:ind w:firstLine="709"/>
        <w:jc w:val="both"/>
        <w:rPr>
          <w:sz w:val="24"/>
          <w:szCs w:val="24"/>
          <w:lang w:val="uz-Cyrl-UZ"/>
        </w:rPr>
      </w:pPr>
    </w:p>
    <w:p w14:paraId="25F5A3B5" w14:textId="77777777" w:rsidR="0049030C" w:rsidRDefault="0049030C" w:rsidP="00611219">
      <w:pPr>
        <w:tabs>
          <w:tab w:val="left" w:pos="993"/>
        </w:tabs>
        <w:ind w:firstLine="709"/>
        <w:jc w:val="both"/>
        <w:rPr>
          <w:sz w:val="24"/>
          <w:szCs w:val="24"/>
          <w:lang w:val="uz-Cyrl-UZ"/>
        </w:rPr>
      </w:pPr>
    </w:p>
    <w:p w14:paraId="3F8A9455" w14:textId="0CC38083" w:rsidR="00611219" w:rsidRDefault="00611219" w:rsidP="00C3192C">
      <w:pPr>
        <w:tabs>
          <w:tab w:val="left" w:pos="0"/>
        </w:tabs>
        <w:ind w:right="-32" w:firstLine="567"/>
        <w:jc w:val="left"/>
        <w:rPr>
          <w:b/>
          <w:bCs/>
          <w:sz w:val="24"/>
          <w:szCs w:val="24"/>
          <w:lang w:val="uz-Cyrl-UZ"/>
        </w:rPr>
      </w:pPr>
      <w:r>
        <w:rPr>
          <w:b/>
          <w:bCs/>
          <w:sz w:val="24"/>
          <w:szCs w:val="24"/>
          <w:lang w:val="uz-Cyrl-UZ"/>
        </w:rPr>
        <w:t xml:space="preserve">Директор:                   </w:t>
      </w:r>
      <w:r>
        <w:rPr>
          <w:b/>
          <w:bCs/>
          <w:sz w:val="24"/>
          <w:szCs w:val="24"/>
          <w:lang w:val="uz-Cyrl-UZ"/>
        </w:rPr>
        <w:tab/>
      </w:r>
      <w:r>
        <w:rPr>
          <w:b/>
          <w:bCs/>
          <w:sz w:val="24"/>
          <w:szCs w:val="24"/>
          <w:lang w:val="uz-Cyrl-UZ"/>
        </w:rPr>
        <w:tab/>
      </w:r>
      <w:r>
        <w:rPr>
          <w:b/>
          <w:bCs/>
          <w:sz w:val="24"/>
          <w:szCs w:val="24"/>
          <w:lang w:val="uz-Cyrl-UZ"/>
        </w:rPr>
        <w:tab/>
      </w:r>
      <w:r w:rsidR="00C3192C">
        <w:rPr>
          <w:b/>
          <w:bCs/>
          <w:sz w:val="24"/>
          <w:szCs w:val="24"/>
          <w:lang w:val="uz-Cyrl-UZ"/>
        </w:rPr>
        <w:t xml:space="preserve">                          </w:t>
      </w:r>
      <w:r>
        <w:rPr>
          <w:b/>
          <w:bCs/>
          <w:sz w:val="24"/>
          <w:szCs w:val="24"/>
          <w:lang w:val="uz-Cyrl-UZ"/>
        </w:rPr>
        <w:tab/>
        <w:t xml:space="preserve"> Ф.Бобоев</w:t>
      </w:r>
    </w:p>
    <w:p w14:paraId="6FF44723" w14:textId="77777777" w:rsidR="00611219" w:rsidRDefault="00611219" w:rsidP="007A153C">
      <w:pPr>
        <w:ind w:left="142"/>
        <w:jc w:val="both"/>
        <w:rPr>
          <w:b/>
          <w:sz w:val="22"/>
          <w:szCs w:val="22"/>
          <w:lang w:val="uz-Cyrl-UZ"/>
        </w:rPr>
      </w:pPr>
    </w:p>
    <w:sectPr w:rsidR="00611219" w:rsidSect="006C7EC0">
      <w:pgSz w:w="11906" w:h="16838"/>
      <w:pgMar w:top="709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851BC"/>
    <w:multiLevelType w:val="hybridMultilevel"/>
    <w:tmpl w:val="27BA8944"/>
    <w:lvl w:ilvl="0" w:tplc="D614522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0A"/>
    <w:rsid w:val="0001386E"/>
    <w:rsid w:val="00033C31"/>
    <w:rsid w:val="00074750"/>
    <w:rsid w:val="00075A2C"/>
    <w:rsid w:val="000D7F59"/>
    <w:rsid w:val="00131D7E"/>
    <w:rsid w:val="00134146"/>
    <w:rsid w:val="00156819"/>
    <w:rsid w:val="00181E65"/>
    <w:rsid w:val="001B2B7D"/>
    <w:rsid w:val="001B38B1"/>
    <w:rsid w:val="001F1031"/>
    <w:rsid w:val="00207058"/>
    <w:rsid w:val="00223232"/>
    <w:rsid w:val="00230819"/>
    <w:rsid w:val="00252328"/>
    <w:rsid w:val="0028220D"/>
    <w:rsid w:val="002864AD"/>
    <w:rsid w:val="00295F79"/>
    <w:rsid w:val="002B184F"/>
    <w:rsid w:val="002B73FC"/>
    <w:rsid w:val="002C2B3E"/>
    <w:rsid w:val="002C3358"/>
    <w:rsid w:val="00304750"/>
    <w:rsid w:val="00317766"/>
    <w:rsid w:val="00330940"/>
    <w:rsid w:val="003320B5"/>
    <w:rsid w:val="00345739"/>
    <w:rsid w:val="003842E7"/>
    <w:rsid w:val="00396206"/>
    <w:rsid w:val="003A57AD"/>
    <w:rsid w:val="00400503"/>
    <w:rsid w:val="004172CA"/>
    <w:rsid w:val="00422050"/>
    <w:rsid w:val="0042277A"/>
    <w:rsid w:val="0045270E"/>
    <w:rsid w:val="0047134E"/>
    <w:rsid w:val="0049030C"/>
    <w:rsid w:val="00496ACA"/>
    <w:rsid w:val="004B30EA"/>
    <w:rsid w:val="004F17F4"/>
    <w:rsid w:val="00502732"/>
    <w:rsid w:val="00507BDD"/>
    <w:rsid w:val="00525DD0"/>
    <w:rsid w:val="00530CA5"/>
    <w:rsid w:val="00535081"/>
    <w:rsid w:val="00551C0A"/>
    <w:rsid w:val="00556383"/>
    <w:rsid w:val="005669B3"/>
    <w:rsid w:val="00573848"/>
    <w:rsid w:val="005A3F2B"/>
    <w:rsid w:val="005B6AAB"/>
    <w:rsid w:val="005E4988"/>
    <w:rsid w:val="005E71A9"/>
    <w:rsid w:val="005F7AD4"/>
    <w:rsid w:val="00605175"/>
    <w:rsid w:val="00611219"/>
    <w:rsid w:val="00665BF1"/>
    <w:rsid w:val="0067004F"/>
    <w:rsid w:val="0067391A"/>
    <w:rsid w:val="006872E3"/>
    <w:rsid w:val="00687845"/>
    <w:rsid w:val="006956D5"/>
    <w:rsid w:val="006B3E3F"/>
    <w:rsid w:val="006C21FA"/>
    <w:rsid w:val="006C7EC0"/>
    <w:rsid w:val="007047AC"/>
    <w:rsid w:val="00711207"/>
    <w:rsid w:val="0071380D"/>
    <w:rsid w:val="00715347"/>
    <w:rsid w:val="00730042"/>
    <w:rsid w:val="007419D6"/>
    <w:rsid w:val="00742A80"/>
    <w:rsid w:val="00767BD0"/>
    <w:rsid w:val="00772FF1"/>
    <w:rsid w:val="00774E3E"/>
    <w:rsid w:val="00780FA6"/>
    <w:rsid w:val="007A153C"/>
    <w:rsid w:val="007D15B6"/>
    <w:rsid w:val="007D3BD7"/>
    <w:rsid w:val="00884479"/>
    <w:rsid w:val="008C2CBB"/>
    <w:rsid w:val="008D2D3B"/>
    <w:rsid w:val="008E361E"/>
    <w:rsid w:val="008F0876"/>
    <w:rsid w:val="008F0C1E"/>
    <w:rsid w:val="008F402F"/>
    <w:rsid w:val="00914315"/>
    <w:rsid w:val="00916FC6"/>
    <w:rsid w:val="0096612A"/>
    <w:rsid w:val="009846F4"/>
    <w:rsid w:val="00995D3E"/>
    <w:rsid w:val="009B0790"/>
    <w:rsid w:val="009E5BCF"/>
    <w:rsid w:val="00A0519C"/>
    <w:rsid w:val="00A53608"/>
    <w:rsid w:val="00A53B61"/>
    <w:rsid w:val="00A56AE5"/>
    <w:rsid w:val="00A607BE"/>
    <w:rsid w:val="00A80C36"/>
    <w:rsid w:val="00AA0C58"/>
    <w:rsid w:val="00AA23CC"/>
    <w:rsid w:val="00AD5CE8"/>
    <w:rsid w:val="00B02B5C"/>
    <w:rsid w:val="00B24813"/>
    <w:rsid w:val="00B363F7"/>
    <w:rsid w:val="00B365D1"/>
    <w:rsid w:val="00B40242"/>
    <w:rsid w:val="00B44C3A"/>
    <w:rsid w:val="00B50ABB"/>
    <w:rsid w:val="00B841E4"/>
    <w:rsid w:val="00B91B54"/>
    <w:rsid w:val="00BE31BA"/>
    <w:rsid w:val="00BE68A8"/>
    <w:rsid w:val="00BF18AB"/>
    <w:rsid w:val="00C025E5"/>
    <w:rsid w:val="00C3192C"/>
    <w:rsid w:val="00C34847"/>
    <w:rsid w:val="00CF16D8"/>
    <w:rsid w:val="00D14E9E"/>
    <w:rsid w:val="00D565C2"/>
    <w:rsid w:val="00DB401A"/>
    <w:rsid w:val="00DC63D2"/>
    <w:rsid w:val="00DD1903"/>
    <w:rsid w:val="00E0199F"/>
    <w:rsid w:val="00E04467"/>
    <w:rsid w:val="00E542EB"/>
    <w:rsid w:val="00EC453C"/>
    <w:rsid w:val="00EC73D7"/>
    <w:rsid w:val="00ED22B1"/>
    <w:rsid w:val="00EF35D1"/>
    <w:rsid w:val="00EF72EF"/>
    <w:rsid w:val="00F014E5"/>
    <w:rsid w:val="00F1564A"/>
    <w:rsid w:val="00F356C3"/>
    <w:rsid w:val="00F403E1"/>
    <w:rsid w:val="00F5364D"/>
    <w:rsid w:val="00F777C6"/>
    <w:rsid w:val="00FA5288"/>
    <w:rsid w:val="00F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F69B"/>
  <w15:docId w15:val="{8355DF4A-948E-471B-95FB-677BC3C2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BF1"/>
    <w:pPr>
      <w:spacing w:after="0" w:line="240" w:lineRule="auto"/>
      <w:jc w:val="right"/>
    </w:pPr>
    <w:rPr>
      <w:rFonts w:ascii="Times New Roman" w:eastAsia="MS Mincho" w:hAnsi="Times New Roman" w:cs="Times New Roman"/>
      <w:sz w:val="28"/>
      <w:szCs w:val="28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B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BF1"/>
    <w:rPr>
      <w:rFonts w:ascii="Tahoma" w:eastAsia="MS Mincho" w:hAnsi="Tahoma" w:cs="Tahoma"/>
      <w:sz w:val="16"/>
      <w:szCs w:val="16"/>
      <w:lang w:val="en-US" w:eastAsia="ja-JP"/>
    </w:rPr>
  </w:style>
  <w:style w:type="character" w:styleId="a5">
    <w:name w:val="Hyperlink"/>
    <w:basedOn w:val="a0"/>
    <w:uiPriority w:val="99"/>
    <w:unhideWhenUsed/>
    <w:rsid w:val="00665BF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45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1121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clauseprfx">
    <w:name w:val="clauseprfx"/>
    <w:basedOn w:val="a0"/>
    <w:rsid w:val="00BE31BA"/>
  </w:style>
  <w:style w:type="character" w:customStyle="1" w:styleId="clausesuff">
    <w:name w:val="clausesuff"/>
    <w:basedOn w:val="a0"/>
    <w:rsid w:val="00BE3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85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7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22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B0985-9039-4FF5-B827-A86D82B2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RT</cp:lastModifiedBy>
  <cp:revision>16</cp:revision>
  <cp:lastPrinted>2022-11-03T06:38:00Z</cp:lastPrinted>
  <dcterms:created xsi:type="dcterms:W3CDTF">2022-11-03T05:41:00Z</dcterms:created>
  <dcterms:modified xsi:type="dcterms:W3CDTF">2023-04-15T10:18:00Z</dcterms:modified>
</cp:coreProperties>
</file>